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Rahiri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Rahiri Lifestyle Care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2021</w:t>
      </w:r>
      <w:bookmarkEnd w:id="7"/>
      <w:r w:rsidRPr="009418D4">
        <w:rPr>
          <w:rFonts w:cs="Arial"/>
        </w:rPr>
        <w:tab/>
        <w:t xml:space="preserve">End date: </w:t>
      </w:r>
      <w:bookmarkStart w:id="8" w:name="AuditEndDate"/>
      <w:r w:rsidR="00A4268A">
        <w:rPr>
          <w:rFonts w:cs="Arial"/>
        </w:rPr>
        <w:t>21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Rahiri is certified to provide rest home, hospital and dementia level of care for up to 49 residents.  At the time of the audit there were 49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The care home manager has been in the role for nearly four years.  She is supported by an experienced clinical manager who has been in the role for twelve months.</w:t>
      </w:r>
    </w:p>
    <w:p w:rsidRPr="00A4268A">
      <w:pPr>
        <w:spacing w:before="240" w:line="276" w:lineRule="auto"/>
        <w:rPr>
          <w:rFonts w:eastAsia="Calibri"/>
        </w:rPr>
      </w:pPr>
      <w:r w:rsidRPr="00A4268A">
        <w:rPr>
          <w:rFonts w:eastAsia="Calibri"/>
        </w:rPr>
        <w:t>Residents and relatives interviewed spoke positively about the service.</w:t>
      </w:r>
    </w:p>
    <w:p w:rsidRPr="00A4268A">
      <w:pPr>
        <w:spacing w:before="240" w:line="276" w:lineRule="auto"/>
        <w:rPr>
          <w:rFonts w:eastAsia="Calibri"/>
        </w:rPr>
      </w:pPr>
      <w:r w:rsidRPr="00A4268A">
        <w:rPr>
          <w:rFonts w:eastAsia="Calibri"/>
        </w:rPr>
        <w:t>There is a continuous improvement awarded around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Rahiri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day-to-day operations.  Quality/health and safety goals are documented for the service with evidence of regular reviews.  A quality and risk management programme is embedded in practice.  Residents receive appropriate services from suitably qualified staff.  Human resources are managed in accordance with good employment practice.  An orientation programme is in place for new staff.  An education and training plan includes in-service education and competency assessments.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 and nurse practitioner as well as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caregivers are responsible for the administration of medicines.  Medication charts are reviewed three-monthly by the general practitioner or nurse practitioner.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all single rooms with hand basins, eleven have ensuites and the rest share toilets and showers.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that states the organisation’s philosophy is restraint minimisation.  The service continues to maintain a restraint free environment. There was one resident using an enabler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was one outbreak in 2019.  This was well managed and appropriate authorities were notified.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1"/>
        <w:gridCol w:w="1280"/>
        <w:gridCol w:w="10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(three caregivers, three registered nurses (RN), one activities coordinator, the clinical manager and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(two rest home including one young person with a disability (YPD), four hospital including one long-term chronic health care (LTS-CHC) and one respite and one dementia).  Discussions with staff confirmed that they are familiar with the requirements to obtain informed consent for entering rooms and personal care.  Enduring power of attorney (EPOA) evidence is filed in the residents’ charts.  In the dementia unit the resident file sampled had an activated EPOA.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They have also created ongoing relationships with community groups that visit Bupa Rahiri.  Resident and relative meetings are held bi-monthly.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received is maintained by the care home manager using a complaints’ electronic register.  Discussions with residents and relatives confirmed they were provided with information on complaints and complaints forms.  Complaints forms and a suggestion box are placed at reception.  Six complaints made in 2020 and one received in 2021 year to date were reviewed.  All complaints reviewed had documented evidence of follow up, feedback to the complainant or outcome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and clinical manager discuss aspects of the Code with residents and their family on admission.  Discussions relating to the Code are held during the resident/family meetings.  Six residents (four rest home and two hospital) and five relatives (two hospital, one rest home and two dementia care)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was one resident who identified as Māori living at the facility.  One Māori resident interviewed confirmed that Māori cultural values and beliefs are being met.  Māori consultation is available through the documented iwi links and Māori staff who are employed by the service.  Staff receive education on cultural awareness during their induction to the service and as a regular in-service topic.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service receives support from the district health board, which includes nurse specialist visits.  Physiotherapy services are available as requested.  There is a regular in-service education and training programme for staff.  The service has links with the local community and encourages residents to remain independent.  Bupa has established benchmarking groups for rest home, hospital, dementia and psychogeriatric/mental health services.  Bupa Rahiri is benchmarked against the rest home, hospital and dementia services data.  If the results are above the benchmark, a corrective action plan is developed by the service.  The service demonstrated a number of examples of good practice including not using any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(electronic system) have a section to indicate if next of kin have been informed (or not) of an accident/incident.  Eleven accident/incident forms reviewed identified that all families were kept informed (the twelfth was a staff incident).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Non-subsidised residents are advised in writing of their eligibility and the process to become a subsidised resident should they wish to do so.  An introduction to the dementia unit booklet provides information for family, friends and visitors to the facility.  This booklet is included in the enquiry pack along with a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Rahiri is certified to provide rest home, hospital (medical and geriatric) and dementia level of care for up to 49 residents.  There are 26 dual-purpose beds (rest home and hospital).  In addition, there are twelve hospital rooms, three rooms in the rest home which are smaller and are used for mobile rest home residents and an eight-bed dementia unit.  At the time of the audit there were a total of 49 residents (24 rest home residents including 1 younger person’s disability [YPD] and 1 respite resident, 17 hospital residents [including 1 resident on respite with CMI funding and 1 resident on LTS-CHC funding] and 8 dementia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vision and key values are displayed on the wall.  There is an overall Bupa business plan and risk management plan.  Additionally, each Bupa facility develops an annual quality plan.  Bupa Rahiri has set specific quality goals for 2020-2021 year.  Progress with the quality assurance and risk management programme is monitored through the Bupa managers’ meetings and various facility meetings.  Monthly and annual reviews are completed for all areas of service.  The organisation has a clinical governance group, which meets two-monthly.  Bupa has robust quality and risk management systems implemented across its facilities with four benchmarking groups established for rest home, hospital, dementia and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for nearly four years.  She is supported by a clinical manager who has been in the position for one year.  Care home managers and clinical managers attend annual organisational forums and regional forums six-monthly.  On first day of audit the People Partner for Bupa Central was visiting the site and the Operations Manager Bupa Central visits regularly and is readily available for support as needed.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a Bupa relieving care home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support office via the electronic data system.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staff meetings.  An annual internal audit schedule was sighted for the service with evidence of internal audits occurring as per the audit schedule.  Internal audits that were not fully compliant, had corrective actions initiated or completed.  The resident satisfaction survey for 2020 resulted in 9.1 (out of 10) for overall satisfaction, up on the 2019 score which was 8.3 for resident overall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officer (registered nurse) was interviewed about the health and safety programme.  Risk management, hazard control and emergency policies and procedures are implemented.  Hazard identification forms and a hazard register are in place.  There are procedures to guide staff in managing clinical and non-clinical emergencies.  All new staff and contractors undergo a health and safety orientation programme.  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(electronic) are completed for each incident/accident with immediate action noted and any follow-up action(s) required.  Twelve accident/incident forms were reviewed.  Each event involving a resident reflected a clinical assessment and follow-up by a registered nurse.  Data collected on the electronic system is linked to the quality management system.  Any incident rating higher than two out of five is escalated to support office.  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(one clinical manager, one RN, two caregivers, one diversional therapist, one maintenance person and one cook)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A total of sixteen caregivers are employed to work in the dementia unit with fourteen staff on site with credits four dementia and five more are close to finishing.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Thirteen registered nurses (including the care home manager, the clinical manager and a casual RN) are employed.  Eight have completed their interRAI training.  There are a number of implemented competencies for registered nurses including (but not limited to) medication competencies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Rosters implement the staffing rationale.  There is a fulltime care home manager and clinical manager.  The hospital area is staffed with at least one registered nurse on each shift and three carers on morning and afternoon and one on night.  In the rest home area there are three carers on morning duty, two on afternoon and one on night (on some shifts a caregiver is replaced by a second RN).  In the dementia unit there are two carers on morning and afternoon and one on night (on some morning and afternoon shifts a carer may be replaced by a RN).  The interviews with residents and relatives confirmed staffing overall was satisfactory but there were times when staff appeared very busy.  Caregivers advised that sufficient staff are rostered on for most shifts.  All registered nurses and senior staff are trained in first aid.  One RN has allocated time to spend with dementia residents and along with the clinical manager has a good understanding of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and one respite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three residents self-administering on the day of audit.  All policies and procedures had been adhered to.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Registered nurses and senior medication competent caregivers administer medications.  All staff have up-to-date medication competencies and there has been medication education this year.  The medication fridge and room temperature are checked daily.  The room temperature has been slightly raised at times, but an action plan is in place and the facility are in the process of installing fans.  To mitigate the risk, medications are moved to the other medication room when temperatures are higher.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Fourteen medication charts were reviewed.  Medications are reviewed at least three-monthly by the GP/NP.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r w:rsidRPr="00BE00C7">
              <w:rPr>
                <w:rFonts w:cs="Arial"/>
                <w:b w:val="0"/>
                <w:lang w:eastAsia="en-NZ"/>
              </w:rPr>
              <w:t>There were eight medication errors relating to administration in the period January 2020 to May 2020.  A corrective action plan was formulated in May 2020.  Toolbox talks (staff lead), and RN meetings were held more frequently.  Senior caregiver meetings were established and these medication errors relating to administration were discussed.  Reflective sessions were completed every time an error occurred.  January 2020-April 2020: There were eight errors relating to administration; January 2021-April 2021 there were two errors relating to administration.  The service identified there was a much-reduced error rate in 2021 versus the same period in 2020.  The change to make less medication errors took time to fully embed but has been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four days a week and a cook who covers the other days.  There are also two relief cooks.  There are two fulltime kitchenhands and three relief kitchenhands.  All but two kitchen staff have food safety certificates and the other two are currently completing food safety.  The kitchen manager oversees the procurement of the food and management of the kitchen.  There is a well-equipped kitchen, and all meals are cooked on site.  Meals are served in the dining rooms from a bain marie or hot box.  Meals going to rooms on trays have covers to keep the food warm.  Special equipment such as lipped plates is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The four-weekly menu cycle is approved by a dietitian.  All residents and family members interviewed were satisfied with the meals.  Snacks are always available. The food control plan was verified on 21 September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were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GP/NP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an electronic register and written in the progress notes.  Neurological observations are completed for unwitnessed falls or falls where residents hit their heads.  Family is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are currently nine wounds being treated One chronic wound has had input from the GP/NP and the wound care nurse specialist.  There is currently one stage one pressure injury which has almost healed.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(DT) who works 30 hours a week.  On the days of audit rest home and hospital residents were observed going for a van outing, playing housie and listening to a volunteer playing the piano.  In the dementia unit residents were singing along to songs from the world war two era.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residents have a copy in their rooms.  The programme in the dementia unit can vary from the printed programme due to residents’ mood and fatigue.  Residents have the choice of a variety of activities in which to participate, and every effort is made to ensure activities are meaningful and tailored to residents’ needs.  There is a garden, sewing and knitting group.  The knitting group sells their work from a stand in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 on one visits to check if there is anything they need and to have a chat. There is an interdenominational church service every Sunday and the first Wednesday of the month. There are van outings every Thursday.  They may go on picnics, shopping, men’s club or cafés. There are entertainers visiting the facility every two months.  Special events such as birthdays, Easter, Anzac Day, and Queens’s birthday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hospital cat, the maintenance person brings his dog in daily and canine friends visit fortnightly. There is community input from volunteers and school groups.  Two residents go to Elske on a Monday and Wednesday.  Many residents like to take neighbourhood walks. The YPD resident is blind and prefers one on one visits.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two-monthly.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registered nurses six monthly or when changes to care occurs.  A written evaluation is completed that describes progress to meeting goals.  Where the evaluation reflects change in health status or usual activities this is updated in the care plan.  The respite care plan was not due for review.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GP/NP and resident/family if they wish to attend.  There are three monthly reviews by the GP/NP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20 January 2022.  There is a maintenance person who works 30 hours a week.  There is a contracted garden person.  Electrical and plumbing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schedule.  Electrical equipment has been tested and tagged.  The scales are checked annually.  Hot water temperatures have been monitored randomly in resident areas and were within the acceptable range.  The rest home and hospital are carpeted.  The dementia unit is to be carpeted soon (on the refurbishing budget).  Corridors are wide, have safety rails and promote safe mobility with the use of mobility aids.  Residents were observed moving freely around the areas with mobility aids where required.  The external areas and gardens were well maintained.  There is a large enclosed outdoor area for the dementia unit.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There are eleven rooms with ensuites and the rest share communal toilets and showers and there are sufficient numbers of these.  Fixtures, fittings and flooring are appropriate.  Toilet/shower facilities are easy to clean.  There is ample space in toilet and shower areas to accommodate shower chairs if required.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units there are large and small communal areas.  The larger areas are used for activities and the smaller areas are for residents to read, entertain visitors or just have quiet time.  The dining areas are of an adequate size.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is done on site by four cleaners who also complete laundry duties.  The laundry is divided into a “dirty” and “clean” area.  There is a laundry and cleaning manual and safety data sheets.  Personal protective equipment is available.  Cleaning and laundry services are monitored.  There are three sluice rooms for the disposal of soiled water or waste and the sluicing of soiled linen if required.  The sluice room and the laundry are kept closed when not in use.  Cleaning trollies are locked away when not in use.  Ironing is completed at night by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The last planned fire evacuation drill occurred January 2021, however since then there has been one in March and April (triggered by insects in smoke detectors).  A contracted service provides checking of all facility equipment including fire equipment.  Fire training and security situations are part of orientation of new staff and ongoing education for staff.  Emergency equipment is available at the facility.  There are adequate supplies in the event of a civil defence emergency including food, water and gas cooking.  Short-term back up power for emergency lighting is in place.  A minimum of one person trained in first aid and cardiopulmonary resuscitation (CPR) is available at all times.  There are call bells in the residents’ room and lounge/dining room areas.  Residents were observed to have their call bells where they could be easily accessed, or sensor mats were in use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Heating is a mixture of electrical and gas.  Staff and residents interviewed stated that both are effective.  There are two outdoor areas where residents smoke.  All other areas are smoke free.  Smoking cessation programmes are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Covid-19 pandemic it was evident that infection control practices needed to be more effective.  In consultation with the integration and planning lead at MidCentral DHB they (Bupa Rahiri) identified that whilst they believed their staff were competent at putting on and taking off personal protective equipment (PPE) they did not have any records of how and when this was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DHB and Bupa infection control education.  This is updated annually.  During Covid-19 there has been regular information from Bupa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control nurse specialist through the DHB, public health, GP/NP, local laboratory and expertise from within the Bupa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 standards, legislation and good practice.  These policies are developed by support office and are reviewed annually.  There is resource information and plans around Covid-19 from support office and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is provided at orientation and as part of the annual training schedule.  All staff complete hand hygiene audits.  In-services have been provided around PPE and outbreak management and there has been particular emphasis on this since Covid-19.  Any new communication regarding Covid-19 is relayed to staff in meetings, on noticeboards and at handovers.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sent to support office and discussed with the care home manager and at quality and staff meetings.  Meeting minutes are available to staff.  Trends are identified, analysed and preventative measures put in place.  Systems in place are appropriate to the size and complexity of the facility.  Benchmarking against other Bupa facilities occurs.  There was a Norovirus outbreak in 2019.  This was reported to the appropriate authorities.  The outbreak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Interviews with the caregiver and nursing staff confirmed their understanding of restraints and enablers.  Bupa Rahiri is a restraint free home and has been for over two years.  At the time of the audit, the service had one resident using an enabler (bedsides at night).  Consent documentation was in place and potential risks recorded in the care plan.  The resident was monitored four-hourly, and this was noted in the progress notes.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4"/>
        <w:gridCol w:w="1280"/>
        <w:gridCol w:w="3155"/>
        <w:gridCol w:w="79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3.1.9</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and/or consumers and visitors suffering from, or exposed to and susceptible to, infectious diseases should be prevented from exposing others while infectious.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Covid-19 pandemic it was evident that infection control practices needed to be more effective.  In consultation with the integration and planning lead at MidCentral DHB they (Bupa Rahiri) identified that whilst they believed their staff were competent at putting on and taking off personal protective equipment (PPE) they did not have any records of how and when this was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They utilised a CMDHB PPE donning and doffing video and played this to staff.  They further decided that a checklist to assess staff against would be particularly useful.  The IC coordinator developed a checklist for donning and doffing procedure, adapted from the above video, as this met the current evidence base.  The checklist was assessed by the Bupa national infection control lead and it was decided that Bupa would roll out the checklist across the country.  This supported Bupa’s ongoing commitment to ensuring Bupa staff had the most up-to-date knowledge and skill.  As PPE resources were scarce at the time the facility decided that a ‘talk me through’ the application process at morning huddles would be the best use of resources whilst assessing competence.  As well as adopting this checklist for all new staff and annually for existing staff, not only at this facility but across Bupa, it has reduced their infection rates in residents without known risk/existing medical diagnosis.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Rahiri Lifestyle Care &amp; Village</w:t>
    </w:r>
    <w:bookmarkEnd w:id="58"/>
    <w:r>
      <w:rPr>
        <w:rFonts w:cs="Arial"/>
        <w:sz w:val="16"/>
        <w:szCs w:val="20"/>
      </w:rPr>
      <w:tab/>
      <w:t xml:space="preserve">Date of Audit: </w:t>
    </w:r>
    <w:bookmarkStart w:id="59" w:name="AuditStartDate1"/>
    <w:r>
      <w:rPr>
        <w:rFonts w:cs="Arial"/>
        <w:sz w:val="16"/>
        <w:szCs w:val="20"/>
      </w:rPr>
      <w:t>20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