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(BPA) Limited - Riverside Care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(BPA)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Riverside Care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April 2021</w:t>
      </w:r>
      <w:bookmarkEnd w:id="7"/>
      <w:r w:rsidRPr="009418D4">
        <w:rPr>
          <w:rFonts w:cs="Arial"/>
        </w:rPr>
        <w:tab/>
        <w:t xml:space="preserve">End date: </w:t>
      </w:r>
      <w:bookmarkStart w:id="8" w:name="AuditEndDate"/>
      <w:r w:rsidR="00A4268A">
        <w:rPr>
          <w:rFonts w:cs="Arial"/>
        </w:rPr>
        <w:t>16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Riverside Lifecare provides rest home, dementia and hospital level care for up to 65 residents. The service extended its scope to include residential-physical disability care two years ago, but there have been no admissions under this level of care since.</w:t>
      </w:r>
    </w:p>
    <w:p w:rsidRPr="00A4268A">
      <w:pPr>
        <w:spacing w:before="240" w:line="276" w:lineRule="auto"/>
        <w:rPr>
          <w:rFonts w:eastAsia="Calibri"/>
        </w:rPr>
      </w:pPr>
      <w:r w:rsidRPr="00A4268A">
        <w:rPr>
          <w:rFonts w:eastAsia="Calibri"/>
        </w:rPr>
        <w:t xml:space="preserve">The service is operated by Heritage Lifecare Limited (HLL) and managed by a care home/facility manager and clinical services manager. </w:t>
      </w:r>
    </w:p>
    <w:p w:rsidRPr="00A4268A">
      <w:pPr>
        <w:spacing w:before="240" w:line="276" w:lineRule="auto"/>
        <w:rPr>
          <w:rFonts w:eastAsia="Calibri"/>
        </w:rPr>
      </w:pPr>
      <w:r w:rsidRPr="00A4268A">
        <w:rPr>
          <w:rFonts w:eastAsia="Calibri"/>
        </w:rPr>
        <w:t>The only change within the service since the previous certification audit in 2019 is the appointment of a new clinical services manager.</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(DHB). The audit process included review of documents including residents’ and staff files, observations and interviews with residents, family members, managers, staff, and a general practitioner (GP).</w:t>
      </w:r>
    </w:p>
    <w:p w:rsidRPr="00A4268A">
      <w:pPr>
        <w:spacing w:before="240" w:line="276" w:lineRule="auto"/>
        <w:rPr>
          <w:rFonts w:eastAsia="Calibri"/>
        </w:rPr>
      </w:pPr>
      <w:r w:rsidRPr="00A4268A">
        <w:rPr>
          <w:rFonts w:eastAsia="Calibri"/>
        </w:rPr>
        <w:t>Residents and their families spoke positively about the care provided.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Implemented systems and the environment is conducive to effective communication. The complaints management system meets the requirements of the Code and is known by staff, residents and their families. There have been no serious complaint investigations since the January 2019 certification audit. Families reported that staff immediately respond to and begin to address any concerns they raise.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national support office is regular and effective. Experienced and suitably qualified people manage the services being delivered.  </w:t>
      </w:r>
    </w:p>
    <w:p w:rsidRPr="00A4268A">
      <w:pPr>
        <w:spacing w:before="240" w:line="276" w:lineRule="auto"/>
        <w:rPr>
          <w:rFonts w:eastAsia="Calibri"/>
        </w:rPr>
      </w:pPr>
      <w:r w:rsidRPr="00A4268A">
        <w:rPr>
          <w:rFonts w:eastAsia="Calibri"/>
        </w:rPr>
        <w:t xml:space="preserve">The quality and risk management system includes monitoring service delivery and other operations against key performance indicators. Quality improvement data is collected and benchmarked nationally. Outcomes are analysed for trends and lead to improvements. Staff are involved, and feedback is sought from residents and families. </w:t>
      </w:r>
    </w:p>
    <w:p w:rsidRPr="00A4268A">
      <w:pPr>
        <w:spacing w:before="240" w:line="276" w:lineRule="auto"/>
        <w:rPr>
          <w:rFonts w:eastAsia="Calibri"/>
        </w:rPr>
      </w:pPr>
      <w:r w:rsidRPr="00A4268A">
        <w:rPr>
          <w:rFonts w:eastAsia="Calibri"/>
        </w:rPr>
        <w:t xml:space="preserve">Adverse events are documented with corrective actions implemented. Actual and potential risks, including health and safety risks, are identified and mitigated. Policies and procedures support service delivery. These were in the processes of being reviewed and those audited were current. </w:t>
      </w:r>
    </w:p>
    <w:p w:rsidRPr="00A4268A">
      <w:pPr>
        <w:spacing w:before="240" w:line="276" w:lineRule="auto"/>
        <w:rPr>
          <w:rFonts w:eastAsia="Calibri"/>
        </w:rPr>
      </w:pPr>
      <w:r w:rsidRPr="00A4268A">
        <w:rPr>
          <w:rFonts w:eastAsia="Calibri"/>
        </w:rPr>
        <w:t xml:space="preserve">The appointment, orientation and management of staff is based on good employment practices. A systematic approach to identify and deliver ongoing training, supports safe service delivery and includes regular individual performance review. </w:t>
      </w:r>
    </w:p>
    <w:p w:rsidRPr="00A4268A">
      <w:pPr>
        <w:spacing w:before="240" w:line="276" w:lineRule="auto"/>
        <w:rPr>
          <w:rFonts w:eastAsia="Calibri"/>
        </w:rPr>
      </w:pPr>
      <w:r w:rsidRPr="00A4268A">
        <w:rPr>
          <w:rFonts w:eastAsia="Calibri"/>
        </w:rPr>
        <w:t>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On admission to Riverside Lifecare, residents’ have their needs assessed within the required timeframes by the multidisciplinary team. Shift handovers, communication sheets and stable staffing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two activities staff.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which are consistently implemented using an electronic system. Medications are administered by registered nurses and at times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have been no changes to the structure of the buildings since the previous audit. Building improvements for safety and enhancements are ongoing. There is a current building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processes adhere to the required standard. On the days of audit there was one resident in the hospital with a restraint intervention in place and one resident in the rest home using enablers (bed rails) voluntarily to assist them with positioning in bed.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Data is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6"/>
        <w:gridCol w:w="1280"/>
        <w:gridCol w:w="98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contained six complaints received in the past year and there were no known complaints to the office of the Health and Disability Commissioner. Records and interview with the manager revealed that a letter of acknowledgement, ongoing communication and investigations into the matter had been completed within acceptable timeframes. One complaint was still open at the time of this audit; this is being followed up by the organisation’s national office.</w:t>
            </w:r>
          </w:p>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management and follow up, with support from the regional operations manager if the matter is serious or complex.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and were advised in a timely manner about any incidents or accidents. Communication about the outcomes of, and invitations to participate in regular or urgent medical reviews were forthcoming. This was supported in the residents’ records reviewed.  Staff and the managers interviewed understood the principles of open disclosure, which is supported by policies and procedures that meet the requirements of the Code. Interpreter services are available when required. At the time of the audit there were no residents for whom English was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2020-2021 outlines the purpose, values, scope, direction and objectives of the organisation and is reviewed annually. The manager, quality coordinator and clinical services manager also develop site specific objectives which link with the quality plan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documents reviewed described annual and longer term objectives and the associated action plan. A sample of weekly operations reports to national office contained adequate information to monitor performance. This contains occupancy, health and safety issues, financial performance, compliments and complaints, staffing, property issues, and any other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manager who oversees the day-to-day service delivery is a registered nurse who has worked at this facility for 11 years and has been in the manager role for four years. This person is supported on site by the clinical services manager, part time quality coordinator and reports up to a regional operations manager. This manager is well known locally for her expertise in aged care and maintains knowledge of the sector, regulatory and reporting requirements through attendance and representation at local forums and at conference and study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(DHB) and (MoH) for hospital, rest home, younger persons with a disability (YPD), dementia and respite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Sixty-five (65) beds are available. On the day of audit, there were 63 residents.  Twenty-one were assessed as rest home level care, 25 at hospital level care and 18 were receiving dementia level care. Six of these residents were under the age 65 years (YPD), four at hospital level and two at rest home level. There were no respite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quality and risk system reflects the principles of continuous improvement and is understood by the staff. This includes management of incidents/accidents, complaints and audit activities, an annual satisfaction survey, monitoring of outcomes, clinical incidents including infections and restraint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sighted confirmed adequate reporting systems and discussion occurs on quality matters. Regular review and analysis of quality indicators occurs, and related information is reported and discussed at the weekly team meetings, and quality and staff meetings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Minutes reviewed included discussion on pressure injuries, restraints, falls, complaints, incident/adverse events, infections, audit results and the activities programme. Staff interviewed reported their involvement in quality and risk activities through audit activities. Any relevant corrective actions are developed and implemented as necessary to demonstrate continuous improvement is occurring. Resident and family surveys are completed annually and are sent out from the HLL support office. This includes younger people with a disability. The last survey conducted in October 2020 did not reveal any major concerns. Corrective actions related to feedback has been implemented by staff.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covered all necessary aspects of the service and contractual requirements and were current. The document control system is managed at HLL support office. All documents are updated as required and sent out via a memorandum with instructions for replacement in the manuals. This process ensures a systematic and regular review process, referencing of relevant resources, approval, distribution and removal of obsolete documents.  Staff are updated on any new policies or changes to policies through the staff meetings and sign that they have read and understood these.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 for the identification, monitoring of risks and development of mitigation strategies. The service risk register showed consistent review and updating of any risks identified, risk plans and the addition of any new risks. There is a dedicated health and safety committee with staff representatives from a range of disciplines. The manager, clinical services manager, quality manager, and other health and safety team members interviewed were aware of and have attended training in the Health and Safety at Work Act (2015) requirements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well established and managed processes for the reporting, recording, investigation and review of all incidents and accidents. Review of onsite documents and interviews with staff and management confirmed these are reviewed and discussed at staff meetings and then trended and further evaluated at the national office for benchmarking. Avoidable events are evaluated and actions are implemented to prevent recurrence.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and review of incident data confirmed that incidents are discussed at shift handover, and trending data is displayed in staff areas. Each resident’s care record contained a summary of incidents which facilitates a ready review of risks. </w:t>
            </w:r>
          </w:p>
          <w:p w:rsidR="00EB7645" w:rsidRPr="00BE00C7" w:rsidP="00BE00C7">
            <w:pPr>
              <w:pStyle w:val="OutcomeDescription"/>
              <w:spacing w:before="120" w:after="120"/>
              <w:rPr>
                <w:rFonts w:cs="Arial"/>
                <w:b w:val="0"/>
                <w:lang w:eastAsia="en-NZ"/>
              </w:rPr>
            </w:pPr>
            <w:r w:rsidRPr="00BE00C7">
              <w:rPr>
                <w:rFonts w:cs="Arial"/>
                <w:b w:val="0"/>
                <w:lang w:eastAsia="en-NZ"/>
              </w:rPr>
              <w:t>The FM in conjunction with the regional manager is responsible for essential notifications and reporting and understood the statutory and regulatory obligations. Since the previous audit in 2019, section 31 notifications have been submitted for the change in clinical services manager, challenging behaviours where police were involved, and pressure injuries assessed as above stage 3. On the days of audit there was one resident with a notifiable pressure injury related to their palliative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management policies and processes are based on good employment practice and relevant legislation. The recruitment process includes referee checks, police vetting and validation of qualifications and practising certificates (APCs), where required.   The staff records sampled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and included support from a ‘buddy’ through their initial orientation period. Staff records reviewed showed documentation of completed orientation and a performance review annually. New staff reported that the orientation process prepared them well for their role.  Staff records showed documentation of completed orientation followed by an initial performance review after 90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The in-service education schedule was sighted. Mandatory training requirements are defined and scheduled to occur over the course of the year. An education register records all staff attendance. Competencies are maintained and were recorded on the competency register reviewed. Care staff have completed the required education to meet the requirements of the provider’s agreement with the DHB. Education records reviewed demonstrated completion of the required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of eleven registered nurses have completed and are competent to perform interRAI assessments. Time is allocated to the staff for completing the required assessments. The care staff working in the dementia service are all qualified to work in this service having completed the approved dementia care levels of training required. </w:t>
            </w:r>
          </w:p>
          <w:p w:rsidR="00EB7645" w:rsidRPr="00BE00C7" w:rsidP="00BE00C7">
            <w:pPr>
              <w:pStyle w:val="OutcomeDescription"/>
              <w:spacing w:before="120" w:after="120"/>
              <w:rPr>
                <w:rFonts w:cs="Arial"/>
                <w:b w:val="0"/>
                <w:lang w:eastAsia="en-NZ"/>
              </w:rPr>
            </w:pPr>
            <w:r w:rsidRPr="00BE00C7">
              <w:rPr>
                <w:rFonts w:cs="Arial"/>
                <w:b w:val="0"/>
                <w:lang w:eastAsia="en-NZ"/>
              </w:rPr>
              <w:t>Training to meet the needs of younger individuals with disabilities also occurs.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that the annual performance appraisal process provides an opportunity to discuss individual training needs and to review competencies. Each of the staff files sampled contained evidence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are expected to commence age care sector training (as outlined in their pay equity settlement) three months after commencing employment if they do not already have qualifications. The manager and quality coordinator are authorised moderators of the education programme provided on site. On the days of audit, 23 of the 30 carers had completed the Limited Career Pathway-dementia module, nine had achieved level 4 of the National Certificate in Health and Wellness, 16 had completed level 3 and five were at level 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(HLL) uses ‘allocation of staff/duty rosters’, an electronic tool based on indicators for safe staffing, and this is used by the care home manager and the clinical services manager when preparing the rosters. The manager is able to adjust staffing levels to meet the changing needs of residents. An after-hours on call roster is in place with staff reporting that good access to advice is available when needed. The care home manager and the clinical services manager are on call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were adequate staff available to complete the work allocated to them. Residents and families interviewed supported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rosters reviewed confirmed adequate staff cover has been provided with staff replaced in unplanned absences. There are registered nurses on every shift in all areas of service delivery except on the night duty where there is one registered nurse supported by three caregivers across all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manager and the care home manager work Monday to Friday. Adequate care staff cover the facility on all shifts with various ‘short shifts’ being available to provide additional support at the busy times across the twenty-four-hour period. Staff interviewed commented that any emergency situations are managed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completed first aid courses and certificates were in the staff records reviewed. There are 11 registered nurses including the clinical services manager and care home manager. All have competencies for medication management, verification of death, wound care management, female and male catheterisation and other medical and palliative care management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had requested to self-administer medications at Riverside at the time of audit. There are appropriate procedures to guide staff when a resident wishes to self-medicate.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registered nurse (RN) and clinical services manager (CSM)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Riverside.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is in line with recognised nutritional guidelines for older people. The menu was reviewed by a qualified dietitian on the 15 January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An up-to-date food control plan is in place and was audited by Food Safety Quality and Labelling New Zealand (FSQLNZ) on 8 December 2020. The audit identified two areas requiring corrective action and these have been attended to. The food control plan has been verified for twelve months.</w:t>
            </w:r>
          </w:p>
          <w:p w:rsidR="00EB7645" w:rsidRPr="00BE00C7" w:rsidP="00BE00C7">
            <w:pPr>
              <w:pStyle w:val="OutcomeDescription"/>
              <w:spacing w:before="120" w:after="120"/>
              <w:rPr>
                <w:rFonts w:cs="Arial"/>
                <w:b w:val="0"/>
                <w:lang w:eastAsia="en-NZ"/>
              </w:rPr>
            </w:pPr>
            <w:r w:rsidRPr="00BE00C7">
              <w:rPr>
                <w:rFonts w:cs="Arial"/>
                <w:b w:val="0"/>
                <w:lang w:eastAsia="en-NZ"/>
              </w:rPr>
              <w:t>A review of kitchen identified 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Modified textured food is available and purchased by Riverside from an external provider.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have access to food anytime of the day and night. The unit has a kitchen area in the dining room. Every day the unit orders food from the main kitchen to be provided to enable residents needs over the next 24-hours to be met. Observation evidences a wide range of food available in the unit.</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resident’s interviews following residents eating the main meal.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of Riverside was consistent with their needs, goals, and the plan of care. The attention to meeting a diverse range of resident’s individualised needs was evident in all areas of service provision, for example, wound care management, pressure injury management, behaviour management, post falls assessment and management.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one trained diversional therapist and two activities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three/six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walks, a daily exercise programme visiting entertainers, quiz sessions, pamper sessions, cooking, cards, ‘housie’, van outings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regular family afternoon teas for residents in the secure unit. Residents in the secure unit have a 24-hour activity plan in their file.</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in the hospital and rest home have recently recommenced following Covid-19 restrictions. Meetings minutes indicated residents’ input is sought and responded to. Liaisons with families during Covid-19 restrictions included phone calls, texts, newsletters, and video calls.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demonstrated satisfaction with the programme. Information provided as feedback is used to improve the range of activities offered. Residents interviewed confirmed they find the programme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under 65 are enabled to access a range of activities within the facility and in the community as they request and are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at Riverside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Short-term care plans are in place for short term problems and are consistently reviewed and evaluated as clinically indicated.  Wound management plans evidence evaluation each time the dressing is changed and includes photos. Residents and residents’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building warrant of fitness is current and was displayed at the entrance to the facility with an expiry date of 19 December 2021.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changes to the structure of the buildings. All buildings, plant and equipment inspected during the audit were in good condition and showed evidence of being well maintained. There have been no incidents related to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Riverside is in line with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log all recorded infections that are identified on the shift into the resident’s infection data base. The infection control co-ordinator (ICC) who is also the CSM reviews all reported infections. Monthly surveillance data is collated and analysed to identify any trends, possible causative factors and required actions. Results of the surveillance programme are shared with staff via quality, health and safety, RN,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w:t>
            </w:r>
          </w:p>
          <w:p w:rsidR="00EB7645" w:rsidRPr="00BE00C7" w:rsidP="00BE00C7">
            <w:pPr>
              <w:pStyle w:val="OutcomeDescription"/>
              <w:spacing w:before="120" w:after="120"/>
              <w:rPr>
                <w:rFonts w:cs="Arial"/>
                <w:b w:val="0"/>
                <w:lang w:eastAsia="en-NZ"/>
              </w:rPr>
            </w:pPr>
            <w:r w:rsidRPr="00BE00C7">
              <w:rPr>
                <w:rFonts w:cs="Arial"/>
                <w:b w:val="0"/>
                <w:lang w:eastAsia="en-NZ"/>
              </w:rPr>
              <w:t>Riverside at the time of audit is managing a skin condition outbreak in one area of the facility. The outbreak has been contained and all best practice management strategies implemented. Public Health and the Taranaki District Health Board (TDHB) have been informed. A gastric outbreak in September 2020, resulted in seven residents and two staff members with gastric upsets. Public Health and the TDHB were informed. Specimens did not identify any specific cause. The duration of the outbreak was four days, and the facility was placed in isolation during that time.</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Riverside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who is also the care home manager/RN, provides support and oversight for enabler and restraint management in the facility. This person                                                                           demonstrated a sound understanding of the organisation’s policies, procedures and practice and the role and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one resident was using a restraint and one resident was using an enabler which was the least restrictive and used in a voluntary capacity at the request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used as a last resort when all alternatives have been explored. This was clear on review of the restraint group meeting minutes, residents’ records reviewed and staff interviewed.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(BPA) Limited - Riverside Care Home and Hospital</w:t>
    </w:r>
    <w:bookmarkEnd w:id="58"/>
    <w:r>
      <w:rPr>
        <w:rFonts w:cs="Arial"/>
        <w:sz w:val="16"/>
        <w:szCs w:val="20"/>
      </w:rPr>
      <w:tab/>
      <w:t xml:space="preserve">Date of Audit: </w:t>
    </w:r>
    <w:bookmarkStart w:id="59" w:name="AuditStartDate1"/>
    <w:r>
      <w:rPr>
        <w:rFonts w:cs="Arial"/>
        <w:sz w:val="16"/>
        <w:szCs w:val="20"/>
      </w:rPr>
      <w:t>15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