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Coldstream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Coldstream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April 2021</w:t>
      </w:r>
      <w:bookmarkEnd w:id="7"/>
      <w:r w:rsidRPr="009418D4">
        <w:rPr>
          <w:rFonts w:cs="Arial"/>
        </w:rPr>
        <w:tab/>
        <w:t xml:space="preserve">End date: </w:t>
      </w:r>
      <w:bookmarkStart w:id="8" w:name="AuditEndDate"/>
      <w:r w:rsidR="00A4268A">
        <w:rPr>
          <w:rFonts w:cs="Arial"/>
        </w:rPr>
        <w:t>29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Heritage Lifecare Limited - Coldstream Rest Home &amp; Hospital provides rest home and hospital level care for up to 58 residents. The service is operated by Heritage Lifecare Limited and managed by a care home and village manager and a clinical services manager. Residents and families/whānau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family/whānau, management, staff, a physiotherapist and a nurse practitioner. </w:t>
      </w:r>
    </w:p>
    <w:p w:rsidRPr="00A4268A">
      <w:pPr>
        <w:spacing w:before="240" w:line="276" w:lineRule="auto"/>
        <w:rPr>
          <w:rFonts w:eastAsia="Calibri"/>
        </w:rPr>
      </w:pPr>
      <w:r w:rsidRPr="00A4268A">
        <w:rPr>
          <w:rFonts w:eastAsia="Calibri"/>
        </w:rPr>
        <w:t xml:space="preserve">This audit has resulted in no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families/whānau is promoted, and confirmed to be effective. There is access to interpreting services if required. Staff provide residents and families/whānau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and values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families/whānau.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Four enablers and one restraint were in use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9"/>
        <w:gridCol w:w="1280"/>
        <w:gridCol w:w="100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families/whānau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six complaints have been received over the past year and that actions taken, through to an agreed resolution, are documented and completed within the timeframes.  Action plans showed any required follow up and improvements have been made where possible. The care home and village manager and clinical services manager are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longer-term objectives and the associated operational plans. A sample of monthly reports to the board of directors showed adequate information to monitor performance is reported including financial performance, emerging risks and issues, staffing and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and village manager who holds relevant qualifications and has been in the role for over three years.  Responsibilities and accountabilities are defined in a job description and individual employment agreement.  The care home and village manager confirmed knowledge of the sector, regulatory and reporting requirements and maintains currency through support office conference and education sessions at the local District Health Board (DHB).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care, hospital level medical care, hospital end of life care, and rest home and hospital level respite and with the Ministry of Health (MOH) for long term services, younger people with a disability (YPD), long term mental health services.  Twenty-two residents were receiving services under the DHB contract including one rest home respite, two rest home long term services and two MoH YPD residents. Twenty-eight residents were receiving hospital level care including one resident under the MoH long term services and one under the YPD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 satisfaction survey, monitoring of outcomes, clinical incidents including infections, wounds and behaviours.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team meetings and staff meetings. Staff reported their involvement in quality and risk management activities through audit activities and feedback at meetings. Relevant corrective actions are developed and implemented to address any shortfalls. Resident and family/whānau satisfaction surveys are completed annually. The most recent survey showed that there was dissatisfaction with the meals and meal service – review with the cook and resident meeting minutes showed that this has been addressed and improved.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and village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Adverse event data is collated, analysed and reported to support office.</w:t>
            </w:r>
          </w:p>
          <w:p w:rsidR="00EB7645" w:rsidRPr="00BE00C7" w:rsidP="00BE00C7">
            <w:pPr>
              <w:pStyle w:val="OutcomeDescription"/>
              <w:spacing w:before="120" w:after="120"/>
              <w:rPr>
                <w:rFonts w:cs="Arial"/>
                <w:b w:val="0"/>
                <w:lang w:eastAsia="en-NZ"/>
              </w:rPr>
            </w:pPr>
            <w:r w:rsidRPr="00BE00C7">
              <w:rPr>
                <w:rFonts w:cs="Arial"/>
                <w:b w:val="0"/>
                <w:lang w:eastAsia="en-NZ"/>
              </w:rPr>
              <w:t>The care home and village manager described essential notification reporting requirements, including for pressure injuries.  They advised there have been 10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Of the 33 caregivers employed: one has completed level 2 and one is in training for level 2; 22 have completed level 3 and two are in training for level 3; six staff have completed level 4 with five in training for level 4. A Heritage Lifecare Limited staff member is the internal assessor for the programme. There are sufficient trained and competent registered nurses (RN)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family/whānau interviewed supported this. Observations and review of four weeks of rosters confirmed adequate staff cover has been provided, with staff replaced in any unplanned absence.  At least one staff member on duty has a current first aid certificate and an RN is on duty 24/7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Education sessions have been held by the pharmacist on polypharmacy and use of opioids in aged care.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 was consistently recorded on the CSMs spreadsheet. Standing and verbal orders are not used as all GPs have access to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was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two cooks and kitchen team and is in line with recognised nutritional guidelines for older people. The menu follows summer and winter patterns and has been reviewed by a qualified dietitian within the last two years (15 January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for primary industry and is current until March 2023. Food temperatures, including for high risk items, are monitored appropriately and recorded as part of the plan. All kitchen staff have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Alternatives are offered if residents request.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resident meeting minutes. Residents were seen to be given sufficient time to eat their meal in an unhurried fashion. Those residents’ requiring assistance had this provided in a separate dining room for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nurse practitioner interviewed, verified that medical input is sought in a timely manner, that medical orders are followed, and care is of a high standard. Care staff confirmed that care was provided as outlined in the documentation. A range of equipment and resources was available such as mobility aids, and pressure relieving devices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and rostered volunteers. This person is new to the role and was unavailable to be interviewed. Previous documentation and the programme were reviewed and discussed with the CSM.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life history is undertaken on admission to ascertain residents’ needs, interests, abilities and social requirements. Activities assessments are regularly reviewed to help formulate an activities programme that is meaningful to the residents. The resident’s activity needs are evaluated through feedback and observation of residents’ engagement in activities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 are involved in evaluating and improving the programme through residents’ meetings where they make suggestions for future activities. Van outings are included weekly in the programme. Residents interviewed confirmed they find the programme varied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skin infections, wounds and urinary tract infections. When necessary, and for unresolved problems, long term care plans are added to and updated this was observed in the case of a chronic wound. Residents and family members interviewed said they had opportunity for involvement in evaluation of progress and any resulting changes during six monthly multidisciplinary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01 May 2022) is publicly displayed.  There have been no structural alterations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Toolbox talks are held to address trends as they arise. Graphs are produced that identify trends for the current year and comparisons against previous years, and this is reported to the clinical services manager and the organisations quality manager. Data is benchmarked within the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a restraint and three residents were using four enablers (one resident uses two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Coldstream Rest Home &amp; Hospital</w:t>
    </w:r>
    <w:bookmarkEnd w:id="58"/>
    <w:r>
      <w:rPr>
        <w:rFonts w:cs="Arial"/>
        <w:sz w:val="16"/>
        <w:szCs w:val="20"/>
      </w:rPr>
      <w:tab/>
      <w:t xml:space="preserve">Date of Audit: </w:t>
    </w:r>
    <w:bookmarkStart w:id="59" w:name="AuditStartDate1"/>
    <w:r>
      <w:rPr>
        <w:rFonts w:cs="Arial"/>
        <w:sz w:val="16"/>
        <w:szCs w:val="20"/>
      </w:rPr>
      <w:t>29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