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Owens Retirement Village Limited - Bob Owens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Owens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Owens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2021</w:t>
      </w:r>
      <w:bookmarkEnd w:id="7"/>
      <w:r w:rsidRPr="009418D4">
        <w:rPr>
          <w:rFonts w:cs="Arial"/>
        </w:rPr>
        <w:tab/>
        <w:t xml:space="preserve">End date: </w:t>
      </w:r>
      <w:bookmarkStart w:id="8" w:name="AuditEndDate"/>
      <w:r w:rsidR="00A4268A">
        <w:rPr>
          <w:rFonts w:cs="Arial"/>
        </w:rPr>
        <w:t>4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Bob Owens is part of the Ryman Group of retirement villages and aged care facilities.  They provide rest home, dementia, and hospital levels of care for up to 150 residents.  There were 118 residents at the time of the audit.  </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The village manager is appropriately qualified and experienced and is supported by a clinical manager/registered nurse.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were no areas for improvement identified at the previous certification audit. </w:t>
      </w:r>
    </w:p>
    <w:p w:rsidRPr="00A4268A">
      <w:pPr>
        <w:spacing w:before="240" w:line="276" w:lineRule="auto"/>
        <w:rPr>
          <w:rFonts w:eastAsia="Calibri"/>
        </w:rPr>
      </w:pPr>
      <w:r w:rsidRPr="00A4268A">
        <w:rPr>
          <w:rFonts w:eastAsia="Calibri"/>
        </w:rPr>
        <w:t xml:space="preserve">This surveillance audit identified an improvement required to administration of medication. </w:t>
      </w:r>
    </w:p>
    <w:p w:rsidRPr="00A4268A">
      <w:pPr>
        <w:spacing w:before="240" w:line="276" w:lineRule="auto"/>
        <w:rPr>
          <w:rFonts w:eastAsia="Calibri"/>
        </w:rPr>
      </w:pPr>
      <w:r w:rsidRPr="00A4268A">
        <w:rPr>
          <w:rFonts w:eastAsia="Calibri"/>
        </w:rPr>
        <w:t>An area of continuous improvement was awarded to the restraint minimisation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and a complaint register maintained.  Complaints were described as being able to be responded to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to meet the needs of the residents.  A village manager and clinical manager are responsible for the day-to-day operations with a role for an assistant manager currently being advertised.  Village goals are documented for the service with evidence of regular reviews.  Key components of the quality and risk management programme are documented and include management of complaints, an internal audit schedule, completion of satisfaction surveys, analysis of incidents and accidents, and an implemented health and safety programme.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as per documented policies.  A comprehensive orientation programme is in place for new staff.  Ongoing education and training include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Staff in the dementia unit have completed relevant training around dementia.  Rosters and interviews with staff, residents and family indicated that there are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Medication policies reflect legislative requirements and guidelines.  Staff responsible for administration of medications complete education and medication competencies.  The medication charts were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provided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Building Systems Status Report issued in lieu of the BWOF certificate as one of the specified systems could not be tested or checked during the Covid-19 lockdowns.  All external areas were accessible and of an appropriate standard.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no residents assessed as requiring the use of restraint. One resident was using an enabler for safety.  Staff receive ongoing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standards, and procedures to guide staff.  The infection control programme and its content and detail are appropriate for the size, complexity and degree of risk associated with the service.  The infection control coordinator (unit coordinator/RN) is responsible for coordinating/providing education and training for staff.  The infection control coordinator uses the information obtained through surveillance to determine infection control activities, resources and education needs within the facility.  A monthly infection control report is completed and forwarded to head office for analysis and benchmarking with other Ryman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includes written and verbal complaints, dates and actions taken.  Complaints are being managed in a timely manner, meeting timeframes determined by the Health and Disability Commissioner (HDC).  There was one complaint lodged in 2019 that was resolved in a timely manner.  The village manager reported that the family were satisfied with the outcome.  There were no complaints lodged in 2020 or in 2021 to date.  The village manager reported that they make every effort to meet face-to-face with complainants. It was noted that residents knew the village and clinical managers by name and vice versa and there was a steady stream of residents seen to be having conversations in general with the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  There is evidence of complaints received being discussed in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external providers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staff were interviewed;10 caregivers, three-unit coordinators, six registered nurses, cook, physiotherapist, three activity and lifestyle coordinators (all of whom are diversional therapists), maintenance staff along with the clinical manager and village manager.  Nine residents were interviewed (seven in the rest home and two in the hospital) and seven family members were interviewed (one in the rest home, four in the hospital and two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record family notification when entering an incident into the database.  This was evidenced in all 21 adverse events reviewed electronically on VCare.  Family members interviewed confirmed they are notified following a change of health status of their family member.  There is an interpreter policy in place and contact details of interpreters were available.  This has not been required to date.  There has been frequent communication both with residents and relatives during the Covid-19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is a Ryman Healthcare retirement village.  The care centre is modern and spacious.  The facility is built across three floors and is designed around a large atrium and courtyards.  It provides rest home, hospital and dementia levels care for up to 150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includes 40 rest home level beds on the ground floor, 40 hospital level beds on the first floor, 40 dementia level beds across two wings on the second floor and 30 serviced apartments that are certified to provide rest home level care.  All 80-rest home and hospital level beds in the care centre are certified as dual purpose.  Occupancy during the audit was 118 (42 rest home level residents [including 3 in the serviced departments]; 39 hospital level residents and 37 dementia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Annual organisational objectives are defined with evidence of monthly reviews and quarterly reporting to Ryman Christchurch on progress towards meeting these objectives.  Evidence in staff and management meeting minutes and six-monthly reviews against the plan reflects discussions around the annual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for six years and has a Bachelor of Social Science (human resource).  The service is currently advertising for an assistant to the manager.  A clinical manager (registered nurse) provides clinical oversight and leadership.  The clinical manager has been in the role for six years and has extensive experience in aged care and emergency care nursing in previous years.  The management team is supported by a team at head office.  The management team have maintained at least eight hours each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has a well-established quality and risk management system that is directed by Ryman Christchurch (head office).  Quality and risk performance is reported across the facility meetings and also to the organisation's management team.  Discussions with the managers and staff and review of management and staff meeting minutes reflected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for the hospital, rest home and dementia units and relative meetings are held six-monthly noting that some were delayed throughout lockdown periods as a result of the pandemic.  The village manager and/or clinical manager attend these meetings and minutes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The net promoter score for the hospital is high at 4.63 with the rest home net promoter score at 4.09.  Both were down slightly from the previous year.  The net promoter score for the relative survey completed in August 2020 was at 4.42 with all areas rated higher in satisfaction than the previous year.  The village was rated as number two of 32 villages as a result of the relative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quality-of-service delivery in the facility and across the organisation.  There are clear guidelines and templates for reporting.  Service appropriate management systems and policies are developed, implemented, and regularly reviewed, meeting sector standards and contractual requirements.  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through the monthly Health and Safety Committee meetings.  A health and safety officer is appointed.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staff.  Quality improvements are implemented where indicated.  Ryman has achieved tertiary level ACC Workplace Safety Management Practice.  A review of the hazard register and the maintenance register indicates that there is resolution of issues identified.  All contractors are inducted to health and safety processes by maintenance staff.  All new staff are inducted and orientated to the facility and are advised of the health and safety programme.  There is also annual health and safety in-service training with additional training for staff around Covid-19 including training and competencies around personal protective equipment and cleaning.  Falls prevention strategies are in place including identifying residents at risk of falling while using their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and any follow-up action required. Pressure injuries are documented on a wound report in VCare.</w:t>
            </w:r>
          </w:p>
          <w:p w:rsidR="00EB7645" w:rsidRPr="00BE00C7" w:rsidP="00BE00C7">
            <w:pPr>
              <w:pStyle w:val="OutcomeDescription"/>
              <w:spacing w:before="120" w:after="120"/>
              <w:rPr>
                <w:rFonts w:cs="Arial"/>
                <w:b w:val="0"/>
                <w:lang w:eastAsia="en-NZ"/>
              </w:rPr>
            </w:pPr>
            <w:r w:rsidRPr="00BE00C7">
              <w:rPr>
                <w:rFonts w:cs="Arial"/>
                <w:b w:val="0"/>
                <w:lang w:eastAsia="en-NZ"/>
              </w:rPr>
              <w:t>A review of 21 incident reports (eg, witnessed and unwitnessed falls, pressure injuries and challenging behaviour) identified that all are fully completed and include follow-up by a registered nurse.  The unit managers are involved in the adverse event process.  Regular management, clinical and staff meetings and informal meetings during the week provide an opportunity to review any incidents as they occur.  Neurological observations are completed as per policy if there is a suspected injury to the head (eg,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interviewed were able to identify situations that would be reported to statutory authorities.  Evidence of notification to public health authorities was evidenced for two suspected deep tissue wounds and one for a stage three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Each staff HR file out of nine staff files reviewed (two caregivers, two registered nurses, one clinical manager/RN, one unit manager, one activities coordinator, one laundry assistant, one senior lead chef) included a signed contract, job description relevant to the role the staff member is in, police check, induction paperwork,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nursing practising certificates is maintained within the facility.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A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Staff also complete annual competency questionnaires.  Registered nurses are supported to maintain their professional competency.  Six of fourteen registered nurses including the clinical manager and three-unit coordinators, have completed their interRAI training.  RNs and ENs attend journal club.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 or treatment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Twenty-five caregivers work in the dementia unit.  Of the 25, 22 have completed the required dementia standards, and three are currently completing the training with final documentation being signed off.  There is a casual caregiver who has also completed the dementia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to the manager (when appointed) and clinical/RN work Monday – Friday and are available on call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(occupancy 39 hospital residents) is staffed with a unit coordinator/RN five days a week.  Two staff RNs cover the AM shift and the PM shift, and one RN covers the night shift.  The AM shift is staffed with four long shift, four short shift caregivers, and a fluid assistant; the PM shift is staffed with two long shift and five short shift caregivers and the night shift is staffed with three long shift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split into two separate units with 37 residents residing in the Meadowbank and Carmichael units.  A designated unit coordinator/RN works on the AM shift five days a week.  There are two RNs on the AM shift, one on the afternoon and one on the night shift.  Each AM and PM shift are staffed with one long and one short shift caregiver on each unit with three caregivers overnight.  Two activity coordinators in the morning support residents and a lounge caregiver are rostered in the afternoon on a short shift.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(39 rest home level residents) is staffed with one unit coordinator/RN on five days a week with a registered nurse rostered on the other two days when the unit coordinator is not available.  The AM shift is staffed with two short and two long shift caregivers; the PM shift is staffed with two short shift and two long shift caregivers and the night shift is staffed with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apartments (three rest home level residents) are staffed with one-unit coordinator/EN five days a week.  A senior caregiver is rostered on the two days that the unit coordinator is not available.  The AM is staffed with four caregivers (two long and two short shift); two caregivers in the PM, (one long and one short shift); and overnight, the apartments are covered by the caregivers and registered nurse in the rest home via a pager system.  </w:t>
            </w:r>
          </w:p>
          <w:p w:rsidR="00EB7645" w:rsidRPr="00BE00C7" w:rsidP="00BE00C7">
            <w:pPr>
              <w:pStyle w:val="OutcomeDescription"/>
              <w:spacing w:before="120" w:after="120"/>
              <w:rPr>
                <w:rFonts w:cs="Arial"/>
                <w:b w:val="0"/>
                <w:lang w:eastAsia="en-NZ"/>
              </w:rPr>
            </w:pPr>
            <w:r w:rsidRPr="00BE00C7">
              <w:rPr>
                <w:rFonts w:cs="Arial"/>
                <w:b w:val="0"/>
                <w:lang w:eastAsia="en-NZ"/>
              </w:rPr>
              <w:t>Any staff on leave are covered by casual staff and bureau is not used.  There is a low turnover rate.  The staff survey completed in April 2020 showed a high level of satisfaction with the service rated as number two of 35 villages.  The promoters of the service as evidenced in the service showed a rating of 37% in October 2016 with a steady increase over the years to 85% in 2020.  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medication blister packs for regular and ‘as needed’ (PRN) medications.  Medications are managed appropriately in line with required guidelines and legislation.  Medication fridge temperature monitoring is undertaken.  Medication reconciliation is completed on delivery.  All clinical staff who administer medication have been assessed for competency on an annual basis.  Education around safe medication administration has been provided.  Staff were observed to be safely administering medications.  Registered nurses and care staff interviewed were able to describe their role regarding medicine administration.  Standing orders are not used.  There were no residents self-medicating on the day of audit, however policies and procedures are in place to appropriately assess residents as competent to self-administer should the need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initially sampled.  Two of the fourteen did not have documented instructions related to the resident requiring crushed medications (or opened capsules).  The sample size was increased by three and these three (two rest home, one dementia) were also found to lack the required documented indications/instructions regarding crushed medications.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Bob Owens are all prepared and cooked on site.  The kitchen was observed to be clean and well organised, and a current approved food control plan was in evidence.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senior lead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There is a food control plan expiring 22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very satisfied with recent changes in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interviewed expressed satisfaction with the level of care provided.  The general practitioner also expressed satisfaction with the care received by residents and the service in general.  RNs and caregivers report progress against the care plan at least daily.  If external nursing or allied health advice is required the RNs will initiate a referral (eg, to the wound specialist nurse).  If external medical advice is required, this will be actioned by the GP.  Communication with family is documented in progress notes and on the family communication sheet.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Monitoring charts are well utilised.  Short-term care plans are generated through completing an updated assessment on myRyman, and interventions are automatically updated into the care plan.  Evaluations of the assessment when resolved closes out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records include a urinary continence assessment.  Specialist continence advice is available as needed and this could be described by the registered nurse.  Care plans documented the continence care and support required for each resident and continence products were available according to the continence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weighs have been completed in all long-term files sampled.  Referral to dietitian occurs as required, as confirmed in sampled files.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plans and monitoring were in place for all identified wounds.  This included 33 wounds in total, comprised of 13 minor skin tears, three abrasions, four lesions, four chronic ulcers, two pressure injuries and seven classified as ‘other’ (dermatitis etc). There were two pressure injuries at the time of audit which show appropriate management, review, and documentation.  All wounds have been reviewed in appropriate timeframes and specialised wound management advice through the DHB wound care specialist and Ryman wound champion was in evidence where required.  Dressing supplies are available, and the treatment rooms are stocked for use.  Staff receive regular education on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tools are used for any change in health condition and to develop the ongoing care plans.  When a resident's condition alters, the registered nurse initiates a review and if required, GP or specialist consultation.  Care plans included involvement of allied health professionals in the care of the resident.  This was integrated into the electronic myRyman individualised record.  Evidence was sighted for speech language therapist, physiotherapist, dietitian, hospice, podiatrist, mental health services and wound care specialist (DHB virtual wound clinic).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myRyman programme identifies interventions that cover a comprehensive set of goals including managing medical needs/risks.  Key symbols on the resident’s electronic home page identify current and acute needs such as wound or recent fall.  There was documented evidence of resident/family/whānau involvement in the care planning process in the long-term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activity and lifestyle coordinators who provide a separate Monday to Friday activity programme for the rest home, and seven-day programme for hospital and dementia care units.  There are separate activities available for the serviced apartment residents.  A company diversional therapist (DT) oversees the activity programmes.  The activity coordinators attend Ryman workshops and on-site in-services.  The three activities coordinators interviewed had completed their DT qualifications.  All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includes Ryman minimum requirements for the “Engage” activities programme.  Activities programmes are displayed on noticeboards around the facility and a monthly calendar is delivered to each individual resident.  There is a core programme, which includes the triple A (Active, Ageless, Awareness) exercise programme.  Activities are delivered to meet the cognitive, physical, intellectual, and emotional needs of the residents.  One-on-one time is spent with residents who are unable to actively participate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individual and small group activities were observed occurring in the rest home, hospital, and dementia care units at various times throughout the days of audit.  Residents in serviced apartments can choose to attend the serviced apartment or rest home/hospital activities.  Entertainment and outings are scheduled weekly.  Community visitors are included in the programme.  Residents are assessed, and with family involvement if applicable, and likes, dislikes, and hobbies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and the resident is encouraged to join in activities that are appropriate and meaningful.  A resident attendance list is maintained for activities, entertainment, and outings.  Resident meetings are held two-monthly and family meetings six-monthly.  There is an opportunity to provide feedback on activities at the meetings and six-monthly reviews.  Resident and relative surveys also provide feedback on the activity programme.  Residents interviewed spoke positively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and care plan review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Six long-term care files sampled of permanent residents contained written evaluations completed six-monthly.  The other one file was not yet due for evaluation.  Family are invited to attend review meetings (correspondence noted in files reviewed).  The GP reviews the resident at least three monthly and more frequently for residents with more complex problems.  Ongoing nursing evaluations occur daily and/or as required and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service levels across four floors (including serviced apartments).  All care beds (dementia excluded) are dual purpose; however the service currently runs as floor one rest home, floor two hospital and floor three dementia.  Floor three consists of 2 x 20 bedded dementia units.  Floor four is solely serviced apartments (three of which are certified for rest home level care).  The other certified serviced apartments are on floor one, with independent serviced apartments being spread across all floors.  There are multiple lifts, and stairs access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Systems Status Report that gets issued in lieu of the BWOF certificate if one or more of the specified systems could not be tested or checked during the Covid-19 lockdowns.  The report is compiled by the IQP contractors who could not issue their Form12a but confirm that the specified system is performing as intended.  This was sighted on the day of audit and sufficiently covers the warrant that was due during Covid lockdown as the required monthly building maintenance checks were being completed (also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full-time maintenance officer,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  This is next due September 2021.  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accessing the outdoor gardens and courtyards.  Seating and shade are provided.  The caregivers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units each include an open plan dining/lounge area.  There is free and safe access to the outdoor deck areas with raised gardens,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Effective monitoring is the responsibility of the infection prevention and control officer who is a unit coordinator (RN).  An individual infection report form is completed for each infection.  Data is logged into an electronic system, which gives a monthly infection summary.  This summary is then discussed at the clinical meeting, weekly management meeting, infection prevention and control (IPC) meetings and full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comparative summaries of the data are completed and forwarded to head office.  All meetings held at Ryman Bob Owens include discussion on infection prevention control.  The IPC programme is incorporated into the internal audit programme.  Infection rates are benchmarked across the organisation and are analysed at site level using power BI (A business analysis tool which is used to run reports based on a company's data ).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residents using restraints since 10 December 2017 and has resulted in a rating of continuous improvement (a rating also awarded at the previous certification audit).  One hospital level resident has voluntarily requested a lap belt on their wheelchair with this identified as an enabler. The resident record evidenced documentation completed as per policy with the use of an enabler monitored two-hourly when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restraint minimisation and enablers, falls prevention and analysis,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7"/>
        <w:gridCol w:w="1280"/>
        <w:gridCol w:w="5654"/>
        <w:gridCol w:w="2248"/>
        <w:gridCol w:w="2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reviewed identified that the GP had seen and reviewed the resident three monthly.  Not all medication charts had correct instructions regarding the administration of crushed medications.  There is a corrective action plan in place to address the correct charting of medications (sighted on day of audit).  A staff meeting, and education sessions have been scheduled as has a meeting with the general practitioner.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seventeen medication charts reviewed did not contain the required documented indications/instructions regarding crushed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medication charts are fully completed with indications/instructions regarding crushed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3"/>
        <w:gridCol w:w="1280"/>
        <w:gridCol w:w="3668"/>
        <w:gridCol w:w="74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unit coordinator/RN for the hospital level residents.  They have been in the role for over six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enablers requires voluntary consent by the resident every six months.  Appropriate assessment procedures are implemented.  One file was reviewed of a hospital level resident who has voluntarily requested that a lap belt is put on while in a wheelchair.  Evidence of an appropriate assessment process and six-monthly signatures by the resident consenting to the enabler were sighted.  The resident and family interviewed confirmed the use of the enabler and confirmed that they wanted to have this as they accessed outdoor areas regularly and felt safer with the device.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restraint-free and has resulted in a rating of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free since 10 December 2017.  Staff attend annual education and complete competencies annually around restraint minimisation.  Care staff interviewed were able to identify a range of strategies used that meant that restraint was not required.  One resident record showed that care staff had assessed needs of the resident and as a result had used strategies such as toileting two hourly, behavioural management, and encouraging the resident to take naps during the afternoon that prevented the potential use of restraint.  This resident had reduced the number of incidents from 11 in December to three in January.  Strategies described and implemented for other residents included family education, successful implementation of de-escalation techniques, and ensuring appropriate equipment is utilised where needed (eg, low beds, perimeter mattresses, intentional rounding, regular toileting, landing and sensor mats).  Lounge carers (dementia and hospital) monitor residents closely for any signs of restlessness.  Activities to engage residents are used.  The service has continued to monitor the restraint minimisation programme through six monthly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Owens Retirement Village Limited - Bob Owens Retirement Village</w:t>
    </w:r>
    <w:bookmarkEnd w:id="58"/>
    <w:r>
      <w:rPr>
        <w:rFonts w:cs="Arial"/>
        <w:sz w:val="16"/>
        <w:szCs w:val="20"/>
      </w:rPr>
      <w:tab/>
      <w:t xml:space="preserve">Date of Audit: </w:t>
    </w:r>
    <w:bookmarkStart w:id="59" w:name="AuditStartDate1"/>
    <w:r>
      <w:rPr>
        <w:rFonts w:cs="Arial"/>
        <w:sz w:val="16"/>
        <w:szCs w:val="20"/>
      </w:rPr>
      <w:t>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