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Logan Samuel Limited - Anne Maree Court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Logan Samuel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Anne Maree Court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April 2021</w:t>
      </w:r>
      <w:bookmarkEnd w:id="7"/>
      <w:r w:rsidRPr="009418D4">
        <w:rPr>
          <w:rFonts w:cs="Arial"/>
        </w:rPr>
        <w:tab/>
        <w:t xml:space="preserve">End date: </w:t>
      </w:r>
      <w:bookmarkStart w:id="8" w:name="AuditEndDate"/>
      <w:r w:rsidR="00A4268A">
        <w:rPr>
          <w:rFonts w:cs="Arial"/>
        </w:rPr>
        <w:t>8 April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Anne Maree Court provides rest home and hospital level care services for up to 57 residents.</w:t>
      </w:r>
    </w:p>
    <w:p w:rsidRPr="00A4268A">
      <w:pPr>
        <w:spacing w:before="240" w:line="276" w:lineRule="auto"/>
        <w:rPr>
          <w:rFonts w:eastAsia="Calibri"/>
        </w:rPr>
      </w:pPr>
      <w:r w:rsidRPr="00A4268A">
        <w:rPr>
          <w:rFonts w:eastAsia="Calibri"/>
        </w:rPr>
        <w:t>This recertification audit was conducted against the Health and Disability Services Standards and the provider’s contract with the district health board. The audit process included the review of organisational documentation, staff files and residents’ clinical files, observations, and interviews with residents, families/whānau, staff and the general practitioner (GP).</w:t>
      </w:r>
    </w:p>
    <w:p w:rsidRPr="00A4268A">
      <w:pPr>
        <w:spacing w:before="240" w:line="276" w:lineRule="auto"/>
        <w:rPr>
          <w:rFonts w:eastAsia="Calibri"/>
        </w:rPr>
      </w:pPr>
      <w:r w:rsidRPr="00A4268A">
        <w:rPr>
          <w:rFonts w:eastAsia="Calibri"/>
        </w:rPr>
        <w:t>The most significant change since the surveillance audit in October 2019 is the appointment of a new facility manager and a change of clinical leader. There have been no major changes to the physical environment or scope of services provided.</w:t>
      </w:r>
    </w:p>
    <w:p w:rsidRPr="00A4268A">
      <w:pPr>
        <w:spacing w:before="240" w:line="276" w:lineRule="auto"/>
        <w:rPr>
          <w:rFonts w:eastAsia="Calibri"/>
        </w:rPr>
      </w:pPr>
      <w:r w:rsidRPr="00A4268A">
        <w:rPr>
          <w:rFonts w:eastAsia="Calibri"/>
        </w:rPr>
        <w:t>Feedback from residents and families/whānau members was positive about the care and services provided.</w:t>
      </w:r>
    </w:p>
    <w:p w:rsidRPr="00A4268A">
      <w:pPr>
        <w:spacing w:before="240" w:line="276" w:lineRule="auto"/>
        <w:rPr>
          <w:rFonts w:eastAsia="Calibri"/>
        </w:rPr>
      </w:pPr>
      <w:r w:rsidRPr="00A4268A">
        <w:rPr>
          <w:rFonts w:eastAsia="Calibri"/>
        </w:rPr>
        <w:t>This audit resulted in one improvement required. This was related to evaluating the effects of ‘as required’(PRN) medicines.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The services provided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There is a Maori health plan to guide staff to ensure that 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Review of complaint records and interviews with staff, demonstrated that complaints received since the previous audit has been managed effectively. The residents and families interviewed confirmed that information on the complaints process has been provided to them and that they understand how to raise concerns/complaints.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Regular monitoring of all service areas is occurring. Staff are involved and feedback is sought from residents and families.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Adverse events are reliably reported by all levels of staff. There is evidence that people impacted by an adverse event are notified, for example, general practitioners, residents and families. Notification of serious events is occurring as required by regulatory requirements.</w:t>
      </w:r>
    </w:p>
    <w:p w:rsidRPr="00A4268A">
      <w:pPr>
        <w:spacing w:before="240" w:line="276" w:lineRule="auto"/>
        <w:rPr>
          <w:rFonts w:eastAsia="Calibri"/>
        </w:rPr>
      </w:pPr>
      <w:r w:rsidRPr="00A4268A">
        <w:rPr>
          <w:rFonts w:eastAsia="Calibri"/>
        </w:rPr>
        <w:t xml:space="preserve">The appointment, orientation and management of staff is based on good employment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Anne Maree Court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nurses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is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onsite/offsite and evaluated for effectiveness.</w:t>
      </w:r>
    </w:p>
    <w:p w:rsidRPr="00A4268A">
      <w:pPr>
        <w:spacing w:before="240" w:line="276" w:lineRule="auto"/>
        <w:rPr>
          <w:rFonts w:eastAsia="Calibri"/>
        </w:rPr>
      </w:pPr>
      <w:r w:rsidRPr="00A4268A">
        <w:rPr>
          <w:rFonts w:eastAsia="Calibri"/>
        </w:rPr>
        <w:t xml:space="preserve">Staff are trained in emergency procedures, use of emergency equipment and supplies and attend regular fire drills.  Fire evacuation procedures are regularly practised.  Residents reported a timely staff response to call bells.  Security is maintained.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restraint systems and practices meet the requirements of this standard. There were no residents using restraint or enablers on the days of audit. Assessment, consent, approval and monitoring and review processes are known by staff if interventions are required.  Staff training on restraint and enabler use is being provided regularly.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 There has been no infection outbreak reported since the last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14"/>
        <w:gridCol w:w="1280"/>
        <w:gridCol w:w="924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Anne Maree Court has developed policies, procedures, and processes to meet its obligations in relation to the Code of Health and Disability Services Consumers’ Rights (the Code). The interviewed staff understood the requirements of the Code and were observed communicating with residents in a respectful manner, encouraging independence, providing options, and maintaining dignity and privacy. Training on the Code is included as part of the orientation process for all staff employed and in ongoing training, as was verified in training records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informed consent is included in the admission agreement. Signed admission agreements were sighted in the clinical files reviewed. Nursing and care staff interviewed understood the principles and practice of informed consent. Informed consent policies provide relevant guidance to staff. </w:t>
            </w:r>
          </w:p>
          <w:p w:rsidR="00EB7645" w:rsidRPr="00BE00C7" w:rsidP="00BE00C7">
            <w:pPr>
              <w:pStyle w:val="OutcomeDescription"/>
              <w:spacing w:before="120" w:after="120"/>
              <w:rPr>
                <w:rFonts w:cs="Arial"/>
                <w:b w:val="0"/>
                <w:lang w:eastAsia="en-NZ"/>
              </w:rPr>
            </w:pPr>
            <w:r w:rsidRPr="00BE00C7">
              <w:rPr>
                <w:rFonts w:cs="Arial"/>
                <w:b w:val="0"/>
                <w:lang w:eastAsia="en-NZ"/>
              </w:rPr>
              <w:t>Clinical files reviewed show that advance directives for resuscitation have been gained appropriately using the organisation’s standard form. Enduring power of attorney (EPOA) requirements and processes for residents who are unable to consent is defined and documented. Activated EPOA documents were sighted where appropriate. Staff were observed to gain consent for daily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maintaining a complaints register and effectively managing the complaints process. Residents and family members interviewed demonstrated knowledge and understanding about how to raise a complaint. Interview with the owner and the facility manager and review of the documentation related to the complaints logged in 2020 to 2021 confirmed that each matter was investigated immediately and managed effectively for resolution with all parties.  There was evidence of ongoing communication with all people involved and external advocacy had been offered where necessary.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investigated by the Office of the Health and Disability Commissioner (HDC) or the DHB since the 2019 surveillance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interviewed residents and family were aware of the Code and the Nationwide Health and Disability Advocacy Service (Advocacy Service). They reported that these were discussed with staff on admission and was part of the admission information provided. The Code is displayed at the reception area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residents receive services in a manner that has regard for their dignity, privacy, sexuality, spirituality, and choices. Residents’ personal belongings and property are recorded on admission and are labelled for easy identification. The residents reported that they receive back their clothes after laundering in a timely manner. Staff maintained privacy when providing care throughout the audit. All residents have a private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attend to community activities and to participate in clubs of their choosing to maintain their independence. The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Interviewed staff understood the service’s policy on abuse and neglect, including what to do should there be any signs. Education on abuse and neglect was confirmed to occur during orientation and annually. The interviewed GP and families have not witnessed or observed any abuse nor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who identify as Māori are supported to integrate their cultural values and beliefs. The principles of the Treaty of Waitangi are incorporated into daily practice, as is the importance of whānau. There is a current Māori health plan developed with input from cultural advisers.  Guidance on tikanga best practice is available and is supported by staff who identify as Māori in the facility. Residents who identify as Māori and their whānau reported that staff acknowledge and respect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individual culture, values and beliefs are assessed on admission. The interviewed residents confirmed that they were consulted on their needs and that staff respected these. Residents’ personal preferences, required interventions and special needs were included in care plans reviewed.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family members and the general practitioner (GP) interviewed stated that residents were free from any type of discrimination, harassment or exploitation and felt safe. The induction process for staff includes education related to professional boundaries, expected behaviours and the Code of Conduct.  These are included in the employee handbook and are discussed with all staff during orientation period. The registered nurses have completed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the hospice team, diabetes nurse specialist, wound care specialist,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online education and access their own professional networks to support contemporary good practice. Other examples of good practice observed during the audit included regular internal audits with corrective actions implemented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evident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The clinical leader (CL) reported that access to interpreter services is through the local hospital board. Staff knew how to access interpreter services, although reported this was rarely required due to most residents able to speak English. Staff can provide interpretation as and when needed, or family members and communication cards are used for those with communication difficulties or for whom English is a second language.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 annual and longer term objectives and the associated operational plans. A sample of weekly reports from the facility manager to the owners contained sufficient information to monitor performance. Information reported includes occupancy, incidents, staffing and any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facility manager (FM) who is supported on site by a full-time clinical leader. Both are RNs with previous experience in aged care. The FM commenced the role in January 2021 as did the clinical leader who was already employed at Anne Maree Court as a senior RN. Notifications about these staff changes had been made to the DHB and Ministry of Health (MoH). The clinical leader and manager maintain currency with their roles by attending ongoing professional development and through regular meetings with the DHB and their peers. </w:t>
            </w:r>
          </w:p>
          <w:p w:rsidR="00EB7645" w:rsidRPr="00BE00C7" w:rsidP="00BE00C7">
            <w:pPr>
              <w:pStyle w:val="OutcomeDescription"/>
              <w:spacing w:before="120" w:after="120"/>
              <w:rPr>
                <w:rFonts w:cs="Arial"/>
                <w:b w:val="0"/>
                <w:lang w:eastAsia="en-NZ"/>
              </w:rPr>
            </w:pPr>
            <w:r w:rsidRPr="00BE00C7">
              <w:rPr>
                <w:rFonts w:cs="Arial"/>
                <w:b w:val="0"/>
                <w:lang w:eastAsia="en-NZ"/>
              </w:rPr>
              <w:t>Responsibilities and accountabilities are defined in job descriptions and individual employment agreements.  The FM has 17 years’ experience working as a manager in the aged care sector, and fully understands the regulatory and reporting requirements.</w:t>
            </w:r>
          </w:p>
          <w:p w:rsidR="00EB7645" w:rsidRPr="00BE00C7" w:rsidP="00BE00C7">
            <w:pPr>
              <w:pStyle w:val="OutcomeDescription"/>
              <w:spacing w:before="120" w:after="120"/>
              <w:rPr>
                <w:rFonts w:cs="Arial"/>
                <w:b w:val="0"/>
                <w:lang w:eastAsia="en-NZ"/>
              </w:rPr>
            </w:pPr>
            <w:r w:rsidRPr="00BE00C7">
              <w:rPr>
                <w:rFonts w:cs="Arial"/>
                <w:b w:val="0"/>
                <w:lang w:eastAsia="en-NZ"/>
              </w:rPr>
              <w:t>Anne Maree Court has agreements with the DHB for age related care (ARCC) in rest home, hospital (medical and geriatric care), palliative care, respite/short stay and day services and Long-Term Services, Chronic Health Care (LTS-CHC) and an agreement with MoH for Young people with Disabilities.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first day of audit 46 of the 57 beds were occupied. A natural, expected death and two admissions occurred during the audit. Twenty-seven residents were receiving rest home level care, including two respite. Nineteen residents were receiving hospital level care, which included one respite resident. Two residents were under 65 years of age, one was funded under mental health and the other under LTS-CHC.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facility manager is absent, the owner and the general manager (in the process of returning from maternity leave) are on site daily to carry out all the required duties.  Another senior RN steps up to cover the clinical leader’s absence. This is always allocated to an RN who is experienced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management of incidents and complaints, reporting and tracking of infections and restraint events, scheduled internal audits, regular resident and relative satisfaction surveys and monitoring of outcomes.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a variety of management team, quality and health and safety team meetings, RN and staff meetings. Staff reported their involvement in quality and risk management activities through audit activities and feedback from quality analysis. Graphs showing the prevalence of falls and when these occur are displayed in the staff room. Where necessary corrective actions are developed and implemented to address any shortfalls. Resident and family satisfaction surveys are completed annually. Feedback from family and residents was positive. Where surveys raise areas of concern, these are investigated, and action is taken to address any improvement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and the owners understand the processes for the identification, monitoring, review and reporting of risks and development of mitigation strategies. Staff and the managers are familiar with the Health and Safety at Work Act (2015). Health and safety coordinators are trained and vigilant in reporting, recording and mitigating risks from hazards. The hazard and risk control register is kept up to date and reviewed monthly.  There have been no reports to Worksafe NZ in this audit period.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 forms reviewed for 2020-2021 revealed clear descriptions of the event and evidence of notifications to people impacted by the incidents, for example, family, the manager on call and/or the GP. All incidents were being reviewed and investigated by the FM, and the clinical leader to determine cause and effect and what if any type of actions require follow-up. There was evidence that actions are monitored for implementation. Consequential actions are recorded in the resident’s electronic progress notes. Adverse event data is collated, analysed and reported to staff as described in standard 1.2.3.</w:t>
            </w:r>
          </w:p>
          <w:p w:rsidR="00EB7645" w:rsidRPr="00BE00C7" w:rsidP="00BE00C7">
            <w:pPr>
              <w:pStyle w:val="OutcomeDescription"/>
              <w:spacing w:before="120" w:after="120"/>
              <w:rPr>
                <w:rFonts w:cs="Arial"/>
                <w:b w:val="0"/>
                <w:lang w:eastAsia="en-NZ"/>
              </w:rPr>
            </w:pPr>
            <w:r w:rsidRPr="00BE00C7">
              <w:rPr>
                <w:rFonts w:cs="Arial"/>
                <w:b w:val="0"/>
                <w:lang w:eastAsia="en-NZ"/>
              </w:rPr>
              <w:t>The owners and the FM understand and adhere to the requirements for essential notification reporting. The records showed appropriate notifications of significant events made to the Ministry of Health and DHB. There have been no coroner’s inquests, police investigations or issues-based audits.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Staffing policies and practices are based on good employment practice and relevant legislation. The recruitment process includes referee checks, police vetting and validation of qualifications and practising certificates (APCs), where required.  The new FM confirmed their recruitment, and appointment process as conforming to good employment practice.  A sample of seven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followed by an initial performance review.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such as emergency processes, medicine competency and first aid for those staff who required these. Care staff have either completed or commenced a New Zealand Qualification Authority education programme to meet the requirements of the provider’s agreement with the DHB.  Records reviewed demonstrated that nine of the 23 caregivers have completed level 4 or higher of the National Certificate in Health and Wellbeing (or its equivalent). Four carers have achieved level 3, one has achieved level 2 and the remaining nine are in progress to achieve levels one and two.  Three of the six RNs employed are maintaining annual competency requirements to undertake interRAI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Staffing levels are adjusted to meet the changing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staff interviewed reported there were typically enough staff available to complete the work allocated to them.  Residents and family interviewed supported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and review of a four-week roster cycle confirmed adequate staff cover has been provided, with staff replaced in any unplanned absence through call backs and a reliable pool of casual staff.  While the bed numbers are not at full capacity, the number of staff typically rostered on is four carers in the morning (three from 7am to 3pm and one from 7am to 2pm) plus two RNs and the FM during Monday to Friday. Three carers are allocated for afternoon shifts (two from 3pm to 11pm and one from 3pm to 9pm) plus one RN and there are three carers and one RN on site during the night. Staff said that carer numbers were the same on the weekend but the number of RNs was reduced from two on the floor to one RN per eight hour shift and there was no FM. They said the afterhours on call roster provided good access to RN advice when needed.   </w:t>
            </w:r>
          </w:p>
          <w:p w:rsidR="00EB7645" w:rsidRPr="00BE00C7" w:rsidP="00BE00C7">
            <w:pPr>
              <w:pStyle w:val="OutcomeDescription"/>
              <w:spacing w:before="120" w:after="120"/>
              <w:rPr>
                <w:rFonts w:cs="Arial"/>
                <w:b w:val="0"/>
                <w:lang w:eastAsia="en-NZ"/>
              </w:rPr>
            </w:pPr>
            <w:r w:rsidRPr="00BE00C7">
              <w:rPr>
                <w:rFonts w:cs="Arial"/>
                <w:b w:val="0"/>
                <w:lang w:eastAsia="en-NZ"/>
              </w:rPr>
              <w:t>At least one staff member on duty has a current first aid certificate and there is 24 hour/seven days a week (24//7) RN coverage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electronic information management system is in use for most residents’ information except for the admission agreements, consent forms and admission information that are paper based. 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 Staff have individual passwords to access the electronic system.</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using a cataloguing system. 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responsible for managing the admission enquiries. Residents enter the service when their required level of care has been assessed and confirmed by the local Needs Assessment and Service Coordination (NASC) Service. NASC documents with appropriate levels of care were sighted in the sampled files. Prospective residents and/or their families are encouraged to visit the facility prior to admission and are provided with written information about the service and the admission process. The organisation seeks updated information from the NASC and GP for residents accessing respite care. Anne Maree Court’s facility brochure and website have adequate information on the services provided by the facility.</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and residents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with an escort provided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care facility showed that adequate information was shared for ongoing of care of the resident.  Family of the resident reported being kept well informed during the transfer of their relative. The CL stated that if the needs of a resident change and they are no longer suitable for the services offered, a referral for reassessment to the NASC is made and a new placement found, in consultation with the resident and whānau/family.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legislative requirements. A safe system for medicine management using an electronic system was observed on the days of audit. The HCA and RN observed administering medicines demonstrated good knowledge and had a clear understanding of their roles and responsibilities related to each stage of medicine management.  All staff who administer medicines have current medication administration competency.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RNs complete medication reconciliation when the packs are received from the pharmacy and when residents return to the facility post external appointments. Regular medicines and bulk supply medicines were stored safely in the locked medication room and the medicine trolley. The records of temperatures for the medicine fridge and the medication room reviewed were within the recommended range.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There were three residents who were self-administering medications at the time of audit. Appropriate processes were in place to ensure this was managed in a safe manner. Current self-administration of medication competency forms were sighted.</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medication errors and corrective actions implemented as required. Regular medication audits were completed with corrective action plans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Administered pro re nata (PRN) medicines were not consistently evaluated for effectiveness.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qualified chef and is in line with recognised nutritional guidelines for older people.  There is a four-weekly rotating cycle menu which was last reviewed by a registered dietitian in February 2021. </w:t>
            </w:r>
          </w:p>
          <w:p w:rsidR="00EB7645" w:rsidRPr="00BE00C7" w:rsidP="00BE00C7">
            <w:pPr>
              <w:pStyle w:val="OutcomeDescription"/>
              <w:spacing w:before="120" w:after="120"/>
              <w:rPr>
                <w:rFonts w:cs="Arial"/>
                <w:b w:val="0"/>
                <w:lang w:eastAsia="en-NZ"/>
              </w:rPr>
            </w:pPr>
            <w:r w:rsidRPr="00BE00C7">
              <w:rPr>
                <w:rFonts w:cs="Arial"/>
                <w:b w:val="0"/>
                <w:lang w:eastAsia="en-NZ"/>
              </w:rPr>
              <w:t>Residents’ nutritional assessments are conducted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was available. Residents’ weights are monitored regularly, and any identified concerns were managed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The interviewed residents expressed satisfaction with meals and this was verified in satisfaction surveys and resident meeting minutes. The observed meal services confirmed that residents were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storage and preparation met requirements. Kitchen staff have received the required food safety qualifications. Temperature checks of fridges, freezers and cooked food are maintained. There is a current food control plan issued by Ministry of Primary Industries (MPI). A current food control plan verification report was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reported that if a referral is received but the prospective resident does not meet the entry criteria or there is no vacancy, the local NASC is advised to ensure the prospective resident and family are supported to find an appropriate care alternative.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assessments are completed on admission using the organisation’s assessment tools, such as, a pain scale, falls risk, skin integrity, nutritional screening and continence assessments, as a means to identify any deficits and to inform care planning within 24 hours of admission. InterRAI assessments were completed within three weeks of admission and six-monthly. The sample of care plans reviewed had an integrated range of resident-related information.  All residents had current interRAI assessments completed and the relevant outcome scores have supported care plan goals and interventions.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Changes in care required was documented and verbally passed on to relevant staff. Residents and families confirmed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in care plans reviewed, observations and interviews verified that care provided to residents was consistent with their needs, goals and the plan of care.  The attention to meeting a diverse range of resident’s individualised needs was evident in all areas of service provision.  The interviewed GP confirmed that medical input is sought in a timely manner, that medical orders are followed, and care provided meets the needs of residents. Care staff confirmed that care was provided as outlined in the care plans.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trained diversional therapist (DT) holding the national Certificate in Diversional Therapy, and an activities coordinator who is in the process of completing DT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Social assessments and history are undertaken on admission to ascertain residents’ needs, interests, abilities and social requirements. The DT is responsible for completing the activities care plans for all residents. Activities assessments are regularly reviewed to help formulate an activities programme that is meaningful to the residents. The resident’s activity needs are evaluated when there is a significant change in participation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are offered. Residents were observed participating in a variety of activities on the days of the audit. Activities on the programme included weekly church services, quiz, newspaper reading, exercises, walks, music, external entertainment, movies, birthday celebrations and outings. Residents who are under 65 years attends to activities of choice and are supported to attend to activities outside the facility as required. Residents and families/whānau are involved in evaluating and improving the programme through residents’ meetings and satisfaction surveys. The interviewed residents confirmed that they find the programme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in the electronic system by the healthcare assistants (HCAs) in each shift and daily by the RNs. The HCAs reported that any changes noted are reported to the RN. This was confirmed in the handover observed and in residents’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following the six-monthly interRAI reassessment, or as residents’ needs change. Where progress was different from expected, the service responded by initiating changes to the plan of care. Examples of short-term care plans being consistently reviewed, and progress evaluated as clinically indicated were noted for urinary tract infections, wounds, and weight issues. Residents and families/whānau interviewed confirmed their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to use another medical practitioner. If the need for other non-urgent services is indicated or requested, the GP or CL sends a referral to seek specialist input.  Copies of referrals were sighted in residents’ files, including to the hospice team, oncology and speech language therapist.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procedures for the management of waste and infectious and hazardous substances.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was ample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with an expiry date of 30 November 2021 is publicly displayed in the entry foyer.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was current as confirmed in documentation reviewed, interviews with maintenance personnel and observation of the environment.  Daily checks occur to ensure the environment is hazard free, that residents are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staff confirmed they know the processes they should follow if any repairs or maintenance is required. Records sighted and staff interviewed confirmed that all requests are promptly actioned. Staff, residents and their family members said they were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numbers of accessible bathroom and toilet facilities throughout the facility. This includes 31 rooms with toilet/shower ensuite, three with no ensuite and twenty-three rooms which share a toilet with another resident. Additional toilets and showers are located in each wing and within easy access to bedrooms. Appropriately secured and approved handrails are provided in the toilet/shower areas, and other equipment/accessories are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bedrooms safely. All bedrooms provide single accommodation.  Rooms are personalised with furnishings, photos and other personal items displayed.   Mobility aids, walkers and wheelchairs are stored safely and out of the way, so as not to impede egress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main lounge area is spacious and the majority of hospital residents stay there during the day for entertainment and meals. The designated dining room is on the opposite side of the facility which can be easily accessed by mobile residents or by cutting across the inner courtyard. There are two other lounges which are thoroughfares but provide alternate areas for visiting,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off site by a contracted provider. Family and residents interviewed reported the laundry is managed well and that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been employed for many years and are appropriately trained. This was confirmed in interviews with cleaning staff and through review of training records.  The cleaning store room is immaculate and orderly. Chemicals were stored in a safe and secure manner and decanted into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cleaning and laundry processes is monitored through the internal audit programme. No deficits or areas to be improved were identified by internal audits or during this on-site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fire evacuation plan was approved by the Fire and Emergency New Zealand Service (FENZ) some years ago and is still current as no changes to the structure of the building have occurred since.  A trial evacuation takes place six-monthly with a copy sent to FENZ, the most recent being 05 February 2021. </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Water storage tanks are located around the complex and the amount of water stored on site meets the Ministry of Civil Defence and Emergency Management recommendations for the region. There is no generator on site, but hot water and heating can be produced by gas if necessary. Emergency lighting is regularly tested. A large generator was successfully hooked up to the facility in early 2021 to ensure service delivery continued during a planned power outage. Staff stated this arrangement worked well.</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There have been no security incidents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and opening external windows. Heating is provided by individual panel heaters in residents’ rooms and corridors and large heat pumps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Anne Maree Court has implemented an infection prevention and control (IPC) programme to minimise the risk of infection to residents, staff and visitors.  The programme is guided by a comprehensive and current infection control manual, with input from external specialists. The infection control programme is reviewed annually. This was last reviewed in January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leader is the designated infection control coordinator (ICC), whose role and responsibilities are defined in the infection control coordination policy. Infection control matters, including surveillance results, are reported monthly to the facility manager and quality improvement coordinator, and tabled at the heads of department meeting.  This committee includes the facility manager, IPC coordinator, HCA, and representatives from food services and household management. </w:t>
            </w:r>
          </w:p>
          <w:p w:rsidR="00EB7645" w:rsidRPr="00BE00C7" w:rsidP="00BE00C7">
            <w:pPr>
              <w:pStyle w:val="OutcomeDescription"/>
              <w:spacing w:before="120" w:after="120"/>
              <w:rPr>
                <w:rFonts w:cs="Arial"/>
                <w:b w:val="0"/>
                <w:lang w:eastAsia="en-NZ"/>
              </w:rPr>
            </w:pPr>
            <w:r w:rsidRPr="00BE00C7">
              <w:rPr>
                <w:rFonts w:cs="Arial"/>
                <w:b w:val="0"/>
                <w:lang w:eastAsia="en-NZ"/>
              </w:rPr>
              <w:t>There is signage at the main entrance to the facility requesting anyone who is or has been unwell with flu like symptoms in the past 48 hours, not to enter the facility. The infection control manual provides guidance for staff about how long they must stay away from work if they have been unwell. The interviewed staff understood these responsibilities. A Covid-19 screening questionnaire is completed by all visitors who enter the facility and temperature monitoring is conducted.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has been in this role for two months and has appropriate skills and knowledge for the role. They have attended relevant infection prevention and control education, as verified in training records sighted.  Additional support and information is accessed from the infection control team at the DHB, the community laboratory, the GP and public health unit, as required.  The ICC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ICC confirmed the availability of resources to support the programme and any outbreak of an infection. Adequate resources were sighted on the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Policies were reviewed within the past year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were readily available around the facility. The interviewed staff demonstrated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on infection prevention and control at orientation and ongoing education sessions.  Education is provided by the ICC and online education can be accessed for those who are unable to attend onsite sessions. Content of the training is documented and evaluated to ensure it is relevant, current and understood.  A record of attendance was maintained, and high staff attendance levels were demonstrated. When an infection outbreak or an increase in infection incidence has occurred, there was evidence that additional staff education has been provided in response.  An example of this occurred when during the beginning of the Covid-19 pandemic.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on a one-to-one basis and has included reminders about handwashing, advice about remaining in their room if they are unwell, increasing fluids during hotter weather and appropriate perineal hygiene for urinary tract infections. Infection control issues were discussed with residents in residents’ meetings as verified in the meeting minutes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influenza, the upper and lower respiratory tract. The ICC reviews all reported infections, and these were documented. New infections and any required management plans are discussed at handover, to ensure early intervention occurs. This was confirmed in the handover observed and in staff interviews.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Internal audits were completed regularly, and corrective actions implemented as required. Results of the surveillance programme are shared with staff via regular staff meetings and at staff handovers. Graphs are produced that identify trends for the current year, and comparisons against previous years and this is reported to the facility manager, and all staff. </w:t>
            </w:r>
          </w:p>
          <w:p w:rsidR="00EB7645" w:rsidRPr="00BE00C7" w:rsidP="00BE00C7">
            <w:pPr>
              <w:pStyle w:val="OutcomeDescription"/>
              <w:spacing w:before="120" w:after="120"/>
              <w:rPr>
                <w:rFonts w:cs="Arial"/>
                <w:b w:val="0"/>
                <w:lang w:eastAsia="en-NZ"/>
              </w:rPr>
            </w:pPr>
            <w:r w:rsidRPr="00BE00C7">
              <w:rPr>
                <w:rFonts w:cs="Arial"/>
                <w:b w:val="0"/>
                <w:lang w:eastAsia="en-NZ"/>
              </w:rPr>
              <w:t>No infection outbreaks have been reported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On the days of audit, there were no residents using restraints or enablers. There are several alternatives to restraint in use to prevent injury to residents. These include sensor mats, low beds and ‘fall out’ mats and the use of infra-red light beams to alert staff to movement in the resident’s bedroom.</w:t>
            </w:r>
          </w:p>
          <w:p w:rsidR="00EB7645" w:rsidRPr="00BE00C7" w:rsidP="00BE00C7">
            <w:pPr>
              <w:pStyle w:val="OutcomeDescription"/>
              <w:spacing w:before="120" w:after="120"/>
              <w:rPr>
                <w:rFonts w:cs="Arial"/>
                <w:b w:val="0"/>
                <w:lang w:eastAsia="en-NZ"/>
              </w:rPr>
            </w:pPr>
            <w:r w:rsidRPr="00BE00C7">
              <w:rPr>
                <w:rFonts w:cs="Arial"/>
                <w:b w:val="0"/>
                <w:lang w:eastAsia="en-NZ"/>
              </w:rPr>
              <w:t>The front door has a keypad lock for the safety of wandering and/or confused residents. Competent residents were observed to be using the keypad to exit whenever they wanted, or staff at the front desk assisted them and visitors to open the door.  This type of environmental restraint is openly acknowledged by the service and residents and/or their family/EPOA sign consent and agreement for this.</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There have been no restraint interventions for more than four years. This was evident on review of the falls/restraint group minutes, files reviewed, and from interviews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86"/>
        <w:gridCol w:w="1280"/>
        <w:gridCol w:w="5552"/>
        <w:gridCol w:w="1761"/>
        <w:gridCol w:w="1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prescriber’s signature and dates for the commencement and discontinuation of medicines and all requirements for pro re nata (PRN) medicines were documented on the electronic medicine charts sighted. The required three-monthly GP reviews were consistently recorded on the medicine chart. The administered PRN medicines were not consistently evaluated for effectiveness.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Ten out of fourteen sampled medication charts did not have consistent evaluation of the administered PRN medicines.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administered PRN medicines are evaluated for effectiveness.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Logan Samuel Limited - Anne Maree Court</w:t>
    </w:r>
    <w:bookmarkEnd w:id="58"/>
    <w:r>
      <w:rPr>
        <w:rFonts w:cs="Arial"/>
        <w:sz w:val="16"/>
        <w:szCs w:val="20"/>
      </w:rPr>
      <w:tab/>
      <w:t xml:space="preserve">Date of Audit: </w:t>
    </w:r>
    <w:bookmarkStart w:id="59" w:name="AuditStartDate1"/>
    <w:r>
      <w:rPr>
        <w:rFonts w:cs="Arial"/>
        <w:sz w:val="16"/>
        <w:szCs w:val="20"/>
      </w:rPr>
      <w:t>7 April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