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Henrikwest Management Limited - The Beachfront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Henrikwest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Beachfront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April 2021</w:t>
      </w:r>
      <w:bookmarkEnd w:id="7"/>
      <w:r w:rsidRPr="009418D4">
        <w:rPr>
          <w:rFonts w:cs="Arial"/>
        </w:rPr>
        <w:tab/>
        <w:t xml:space="preserve">End date: </w:t>
      </w:r>
      <w:bookmarkStart w:id="8" w:name="AuditEndDate"/>
      <w:r w:rsidR="00A4268A">
        <w:rPr>
          <w:rFonts w:cs="Arial"/>
        </w:rPr>
        <w:t>6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Beachfront Home and Hospital provides rest home and hospital level care for up to 55 residents. The service is operated by Henrikwest Management Limited and managed by a group general manager and a facility nurse manager.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and contracted allied health providers. A general practitioner was interviewed.</w:t>
      </w:r>
    </w:p>
    <w:p w:rsidRPr="00A4268A">
      <w:pPr>
        <w:spacing w:before="240" w:line="276" w:lineRule="auto"/>
        <w:rPr>
          <w:rFonts w:eastAsia="Calibri"/>
        </w:rPr>
      </w:pPr>
      <w:r w:rsidRPr="00A4268A">
        <w:rPr>
          <w:rFonts w:eastAsia="Calibri"/>
        </w:rPr>
        <w:t xml:space="preserve">This audit has resulted in two areas identified as requiring improvement in relation to initial interRAI assessments and availability for care staff to access care planning and one in safe and appropriate environment which remains open from the previous audit. Two of the three areas of improvement from the previous audit have been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and translation services if needed. </w:t>
      </w:r>
    </w:p>
    <w:p w:rsidRPr="00A4268A">
      <w:pPr>
        <w:spacing w:before="240" w:line="276" w:lineRule="auto"/>
        <w:rPr>
          <w:rFonts w:eastAsia="Calibri"/>
        </w:rPr>
      </w:pPr>
      <w:r w:rsidRPr="00A4268A">
        <w:rPr>
          <w:rFonts w:eastAsia="Calibri"/>
        </w:rPr>
        <w:t>A complaints register is maintained with complaints resolved promptly and effectively. There have been no external complaints received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identification of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performance review. Staff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Policies and procedures provide guidelines for access to service. Residents are assessed prior to entry to the service to confirm their level of care. The nursing team is responsible for assessment, development, and evaluation of care plans. Care plans are developed in consultation with residents and family / whānau.</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an appropriate medicine management system in place. Three monthly medication reviews are conducted by a general practitioner (GP) and these were current. Staff involved in medication administration are assessed as competent to do so.</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The menu has been reviewed and approved by a dietitian. The service has an ‘A grade’ food safety rating.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are currently being used. Eight residents, as documented in the restraint register reviewed, are using a restraint.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surveillance is undertaken, data is analysed, and results reported and communicated to staff at the staff meetings.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6"/>
        <w:gridCol w:w="1280"/>
        <w:gridCol w:w="104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and associated forms meet the requirements of Right 10 of the Code of Health and Disability Services Consumers’ Rights (the Code).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eight minor complaints have been received over the last year and the actions taken, through to an agreed resolution, are clearly documented and completed within the timeframes. Action plans showed any required follow-up and improvements have been made where possible. The facility clinical manager is responsible for complaints management and follow-up.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communicate effectively in English. There are communication strategies in place for residents with cognitive impairment or who have non-verbal means of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reviewed, dated January 2021 to December 2021, clearly outlines the purpose, values, scope, direction and goals of the organisation. The documents described annual and longer term objectives and the associated operational plans. The Beachfront Home and Hospital site specific objectives were also clearly documented in the quality improvement plan for 2021 plan sighted. A sample of monthly reports to the senior manager showed adequate information to monitor performance is reported including occupancy, financial performance, emerging risks and issues, quality (clinical) indicators, results of internal audits and variations to expected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owned by two directors and managed by the group general manager (10 years in this role) who oversees three facilities within the organisation. The business and finance manager has worked for the organisation for seven years. There is an assistant manager who works Monday to Friday at the Beachfront Home and Hospital only. A regional manager covers three services and was present on the day of the audit. The facility clinical manager is an experienced registered nurse who has worked in this role for one year.  A clinical lead supports the facility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All members of the management team have completed relevant management training for their individual roles. Responsibilities and accountabilities are defined in the job descriptions and individual employment agreements reviewed. The group general manager interviewed confirmed knowledge of the sector,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Waitemata District Health Board (WDHB) for age related residential care rest home and hospital level care (hospital level care – LTSCHC and rest home – LTSCHC).  On the day of the audit 40 residents were receiving services; 19 rest home care; 20 hospital level care and one resident who is under 65 years of age who is receiving care under the rest home LTSCHC contract. The service can have a maximum of 55 residents. Thirty-two beds are dual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internal audit activities, regular resident meetings, monitoring of clinical indicators, incidents, including accidents, infections, pressure injuries, falls (with and without injury) staff incidents and health and safety issues.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There is monthly reporting to the group general manager and daily reporting regarding any emerging issues. From the monthly reports, graphs and summaries of the facility`s data are developed against each of the individual clinical indicators. These reports are discussed at the monthly quality and risk/infection prevention and control/health and safety meetings (Q&amp;R/IPC/H&amp;S), at the registered nurse (RN) meetings, and at the staff meetings. The results in graph form with comparative summaries of the month before were reviewed. Staff interviewed reported their involvement in these different meetings. Regular internal audit activities occur each month against a calendar of audits. The results are discussed at the Q&amp;R/IPC/H&amp;S meetings. Relevant corrective actions are also discussed and were noted in meeting minutes. Meetings with residents are held regularly and they can raise and discuss any concerns or issues they have during these meetings.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system of monitoring corrective actions which result from internal audits requires formal reporting through to the group general manager. The facility clinical manager was aware of any areas identified and described the actions taken to address them. The most recent Q&amp;R/IPC/H&amp;S meeting minutes were sighted and recorded discussion of the last internal audit and the actions to be taken. An annual resident satisfaction survey is completed in June each year, as is a staff feedback survey. Last year, positive feedback was received from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delivery and contractual requirements, including reference to the interRAI assessments and other contracts held by this facility. Policies are based on best practice and were current. The document control system ensures a systematic and regular review process, referencing of relevant sources, approval, distribution and removal of any obsolete documents. The general manager is responsible for quality and a quality consultant is contracted to ensure all policies and procedures are up-to-date and current.</w:t>
            </w:r>
          </w:p>
          <w:p w:rsidR="00EB7645" w:rsidRPr="00BE00C7" w:rsidP="00BE00C7">
            <w:pPr>
              <w:pStyle w:val="OutcomeDescription"/>
              <w:spacing w:before="120" w:after="120"/>
              <w:rPr>
                <w:rFonts w:cs="Arial"/>
                <w:b w:val="0"/>
                <w:lang w:eastAsia="en-NZ"/>
              </w:rPr>
            </w:pPr>
            <w:r w:rsidRPr="00BE00C7">
              <w:rPr>
                <w:rFonts w:cs="Arial"/>
                <w:b w:val="0"/>
                <w:lang w:eastAsia="en-NZ"/>
              </w:rPr>
              <w:t>The group general manager described the processes for the identification, monitoring and reporting of risks and development of mitigation strategies. The hazard register reviewed was up to date at the time of the audit. The organisation has policies and procedures which provide guidance on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investigated, action plans developed and actions followed-up in a timely manner. Adverse event data is collated, analysed and reported to the group general manager. A policy and flow chart were available to guide staff. An electronic system has been developed and implemented for any incidents/accidents reported. The information is entered into the electronic system from the hardcopy incident record, then the form is filed in the individual resident`s record by the facility nurse manager. A selection of these reports were sighted for 2020 and 2021. Staff understood their responsibilities for reporting and recording adverse events.</w:t>
            </w:r>
          </w:p>
          <w:p w:rsidR="00EB7645" w:rsidRPr="00BE00C7" w:rsidP="00BE00C7">
            <w:pPr>
              <w:pStyle w:val="OutcomeDescription"/>
              <w:spacing w:before="120" w:after="120"/>
              <w:rPr>
                <w:rFonts w:cs="Arial"/>
                <w:b w:val="0"/>
                <w:lang w:eastAsia="en-NZ"/>
              </w:rPr>
            </w:pPr>
            <w:r w:rsidRPr="00BE00C7">
              <w:rPr>
                <w:rFonts w:cs="Arial"/>
                <w:b w:val="0"/>
                <w:lang w:eastAsia="en-NZ"/>
              </w:rPr>
              <w:t>The group general manager described essential notification reporting requirements, including for pressure injuries and infection outbreaks. Examples of notifications of significant events made to the Ministry of Health since the previous audit were reviewed mostly related to registered nurse (RN) cover. The facility nurse manager was well informed of statutory and/or regulatory obligations to report. The service’s open disclosure policy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New staff members reported, and files reviewed confirmed, that orientation has been completed as required. Staff reported that their orientation prepared them well for their role. Staff records reviewed showed documentation of completed orientation and a performance review after three months and then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at the facility annually with mandatory training requirements being covered in addition to any site-specific needs. The regional manager interviewed works between three facilities, assists with the development of the annual education plan for staff and is available for advice on any quality management issues. Care staff have either completed or commenced a New Zealand Qualification Authority education programme to meet the requirements of the provider`s agreement with the Waitemata District Health Board (WDHB). There are two of the five registered nurses (RNs) trained and competent to undertake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and records reviewed showed that key competencies (medication, restraint and hand hygiene) have been completed for the majority of staff.  All registered nurses and manager have completed first aid training.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This was an area requiring improvement from the previous audit which has been addressed. The facility adjusts staffing levels to meet the changing needs of residents. An afterhours on call roster is in place, with staff reporting that good access to advice is available when needed. Care staff reported adequate staff available to complete the work allocated to them. Residents and family interviewed supported this. Observations and review of a four-week roster cycle confirmed adequate staff cover has been provided, with staff replaced in any unplanned absence. No bureau staff are contracted at this facility. At least one staff member on duty has a current first aid certificate and there is 24 hour/seven days a week RN coverage for the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policies and procedures clearly outline the service provider’s responsibilities in relation to all stages of medicine management. Medications were stored in a safe and secure way in the trolley and locked cupboards. Medication reconciliation is conducted by the registered nurses (RNs) when the resident is transferred back to service from hospital or any external appointments. Medication competencies were completed annually for all staff administering medication as verified by the lead auditor.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medicines at the time of the audit. Self-administration medication policy and procedure is in place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name of the prescriber, dates of commencement and discontinuation of medicines were documented on the medicine charts sighted. The GP reviewed medicines within the required timeframes. Allergies were clearly indicated, and all residents’ photos were current for easy identification. All expired medications were returned to the pharmacy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 health care assistant was observed administering medicines safely, following the required medication protocol guidelines and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was current and correct.  Controlled drugs (CDs) are stored securely. The RNs are the only staff with knowledge of the CDs safe access code. Other medicines, such as pro re nata night sedation, are also checked and documented in the CD register. Weekly and six-monthly stock takes were conducted. Monitoring of medicine fridge is conducted regularly and within the required range. There are no vaccines stored on site. The three GPs review their residents’ medications at least every three months. </w:t>
            </w:r>
          </w:p>
          <w:p w:rsidR="00EB7645" w:rsidRPr="00BE00C7" w:rsidP="00BE00C7">
            <w:pPr>
              <w:pStyle w:val="OutcomeDescription"/>
              <w:spacing w:before="120" w:after="120"/>
              <w:rPr>
                <w:rFonts w:cs="Arial"/>
                <w:b w:val="0"/>
                <w:lang w:eastAsia="en-NZ"/>
              </w:rPr>
            </w:pPr>
            <w:r w:rsidRPr="00BE00C7">
              <w:rPr>
                <w:rFonts w:cs="Arial"/>
                <w:b w:val="0"/>
                <w:lang w:eastAsia="en-NZ"/>
              </w:rPr>
              <w:t>The outcomes of PRN (as required) medicines administered were documented in either the medicine records or progress notes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two cooks who cover the working week. The main meal is provided at lunchtime. There is a four-week summer and winter menu in use dated 2019. Records demonstrate this has been reviewed by a registered dietitian on 6 August 2019. Food supplies are ordered by a designated manager from approved suppliers. The cook advises there is at least a week’s food available at all times for use in an emergency.</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There is a template food control plan in use. The Beachfront Home and Hospital has been verified as being compliant with this, by way of an audit of food services by Auckland City Council on 14 January 2020. The service attained 100% in the verification audit and a re-audit is not required for18 months.</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high risk items are monitored appropriately and recorded. The chef manager interviewed has undertaken relevant food handling training, and records sighted demonstrating other applicable staff have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by the registered nurse and a nutritional profile is completed. Individual residents’ dietary profiles are updated as required and communicated verbally if urgent. The cook confirms having access to this information and a folder containing residents’ nutritional profiles were present in the kitchen, and important information also noted on a prominent whiteboard. The personal preferences, any special diets and any modified texture requirements are made known to staff and accommodated in the daily menu plan.  One resident’s nutritional profile was not current; however, the changes in the resident’s dietary needs had been effectively communicated to the cook and was clearly noted on the kitchen whiteboard. Special equipment to meet residents’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food satisfaction with meals was verified by resident and family interviews.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care plans reviewed sufficiently detailed interventions to address the identified needs of residents. However, there were some exceptions noted where there was insufficient detail or plans were not current or at times not available for care staff (refer criterion 1.3.3.3). </w:t>
            </w:r>
          </w:p>
          <w:p w:rsidR="00EB7645" w:rsidRPr="00BE00C7" w:rsidP="00BE00C7">
            <w:pPr>
              <w:pStyle w:val="OutcomeDescription"/>
              <w:spacing w:before="120" w:after="120"/>
              <w:rPr>
                <w:rFonts w:cs="Arial"/>
                <w:b w:val="0"/>
                <w:lang w:eastAsia="en-NZ"/>
              </w:rPr>
            </w:pPr>
            <w:r w:rsidRPr="00BE00C7">
              <w:rPr>
                <w:rFonts w:cs="Arial"/>
                <w:b w:val="0"/>
                <w:lang w:eastAsia="en-NZ"/>
              </w:rPr>
              <w:t>Significant changes were reported in a timely manner and prescribed orders carried out. The facility care manager reported that the GP’s medical input was sought within an appropriate timeframe, that medical orders were followed, and care was resident centred. This was confirmed by the GP during interview, who confirmed being available on call, that staff contacted the GP appropriately and provided the residents with appropriate and timely care. Care staff confirmed that care was provided as outlined in the care plan and / or communicated verbally.</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appropriate to the residents’ needs and abilities. Activities are normally provided by a diversional therapist (DT) and one activities team coordinator.  The management team reported a new diversional therapist has been recruited following the recent resignation of the DT and will commence work the week following audit. The DT normally works Monday to Friday 8.30 to 4.30, and the experienced activities coordinator works Friday and Saturday 9 am to 3.30. The activities coordinator is currently working full time shifts covering the service, until the DT starts.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are based on assessment and reflected the residents’ social, cultural, spiritual, physical, cognitive needs/abilities, past hobbies, interests, and enjoyments. These assessments were completed within two weeks of admission in consultation with the family and residents. A monthly planner is developed, and each resident is given a copy of the planner. The day’s activities were being promoted to remind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formulated by the activities staff in consultation with residents and family/whānau. The activities were varied and appropriate for residents receiving rest home and hospital level of care. A daily record of participation / attendance is maintained, and a summary comment noted monthly in the residents’ files. There is a formal evaluation of the resident’s participation as part of the six-monthly care plan review.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documented on a daily basis, or sooner where applicable, by care staff in the progress notes.  Changes in residents’ ability, health or mood, as noted by the health care assistants, were reported to the nursing team in a timely manner. Formal care plan evaluations, following reassessment to measure the degree of a resident’s response in relation to desired outcomes and goals, occurs every six months or sooner if residents’ needs change with exceptions noted in criterion 1.3.3.3. These evaluations were carried out by the RNs in conjunction with family, residents, GPs, and specialist service providers. Where progress is different from expected, the service responded by initiating changes 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sampled evidenced that there was monitoring of pain assessments, neurological observations following falls, behaviour monitoring, elimination needs, and evaluation of a range of laboratory tests requested where clinically indicated.  Short term care plans and wound care plans were reviewed at least weekly or as indicated by the degree of risk noted during the assessment process.  Interviews verified residents and family/whānau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was displayed at reception and the expiry date was 26 May 2021. No changes have occurred to the facility with exception of some renovation/refurbishment activities to the main entrance, nurses’ office and a disability bathroom. Clinical equipment has evidence of current performance monitoring and medical equipment has been recalibrated as needed. All legislative requirements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able to move freely within their individual rooms. Residents who use mobility aids have adequate space for themselves and the care staff to assist them and to maintain independence. Hoists are available at the facility and all staff are trained in their use annually. A wing has designated hospital beds however the lift between two floors has not been yet been changed to enable hospital level residents to be admitted. Management is in the progress of discussing this with a lift installation company. This was an area for improvement from the previous audit which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nurse manager is currently the designated infection prevention and control coordinator (IP&amp;CC) who is responsible for the infection control surveillance and reporting monthly to management and staff on any results. Surveillance is appropriate to that recommended for long term care facilities and includes urinary tract, eye, gastro-intestinal, the upper and lower respiratory tract, skin infections and ‘other’.  The IP&amp;CC reviews all reported infections, and these were documented. Any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surveillance are shared with staff via the staff meetings and at staff handovers. Graphs are produced that identify any trends by month, and the comparisons against previous months. Follow-up actions required are noted. There have been no outbreaks of infection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GP confirmed staff bring any concerns about a resident with possible infection to the GP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provides guidance on the safe use of both restraints and enablers. The facility nurse manager interviewed is the restraint coordinator and provides support and oversight for enabler and restraint management in the facility and demonstrated a sound understanding of the organisation`s policies, procedures and practice and the role and responsibilities involved. On the day of the audit, no residents were using an enabler. Eight restraints were in use.   Enablers, when in use, are the least restrictive and used voluntarily at a resident’s request.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alternatives have been explored. This was evident on review of the restraint approval minutes, records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4"/>
        <w:gridCol w:w="1280"/>
        <w:gridCol w:w="4090"/>
        <w:gridCol w:w="4611"/>
        <w:gridCol w:w="17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and care plans were completed by the nursing team with input from the diversional therapy (DT), physiotherapist (where applicable), activities coordinator and care staff. This was confirmed by family/whānau and residents in interviews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one out of six sampled residents the initial interRAI assessment was not undertaken within ARCC contract requirements. For two out of six sampled residents the development of the initial long-term care plan did not align with ARCC contract requirements. The review and updating of a hospital level care resident’s long term care plan (following reassessment at hospital level care) has not occurred in the six weeks since the level of care reassessment was completed.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of one resident’s progress towards achieving their goals was incomplete. Only three out of nine aspects of care had been evaluated by the RN in December 2020. This resident has persistent and ongoing weight loss. While staff can detail the range of interventions undertaken in order to try and address this including having the residents reviewed by the GP, the evaluation of goals has not been completed for this aspect and the ongoing interventions to address weight loss are not sufficiently detailed in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Ten residents are overdue interRAI reassessments from the previous month.</w:t>
            </w:r>
          </w:p>
          <w:p w:rsidR="00EB7645" w:rsidRPr="00BE00C7" w:rsidP="00BE00C7">
            <w:pPr>
              <w:pStyle w:val="OutcomeDescription"/>
              <w:spacing w:before="120" w:after="120"/>
              <w:rPr>
                <w:rFonts w:cs="Arial"/>
                <w:b w:val="0"/>
                <w:lang w:eastAsia="en-NZ"/>
              </w:rPr>
            </w:pPr>
            <w:r w:rsidRPr="00BE00C7">
              <w:rPr>
                <w:rFonts w:cs="Arial"/>
                <w:b w:val="0"/>
                <w:lang w:eastAsia="en-NZ"/>
              </w:rPr>
              <w:t>Two out of six residents did not have a copy of their current care plan accessible for staff. Only electronic copies were located during audit. The facility care manager (FCM) advised there have been some challenges with Wi-Fi which may have contributed to difficulties printing. Printed copies were placed in the applicable residents’ files during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out of six sampled residents’ files did not have their initial interRAI assessment and / or long-term care plan developed within 21 days of admission as required to meet the ARRC contract. One of these resident’s has subsequently been reassessed as requiring hospital level of care. An updated long term care plan has not yet been developed to reflect the resident’s current care needs in the six weeks since reassessment occurred.</w:t>
            </w:r>
          </w:p>
          <w:p w:rsidR="00EB7645" w:rsidRPr="00BE00C7" w:rsidP="00BE00C7">
            <w:pPr>
              <w:pStyle w:val="OutcomeDescription"/>
              <w:spacing w:before="120" w:after="120"/>
              <w:rPr>
                <w:rFonts w:cs="Arial"/>
                <w:b w:val="0"/>
                <w:lang w:eastAsia="en-NZ"/>
              </w:rPr>
            </w:pPr>
            <w:r w:rsidRPr="00BE00C7">
              <w:rPr>
                <w:rFonts w:cs="Arial"/>
                <w:b w:val="0"/>
                <w:lang w:eastAsia="en-NZ"/>
              </w:rPr>
              <w:t>A rest home resident had incomplete evaluation of progress towards meeting goals, and strategies for managing ongoing weight loss were not sufficiently detailed in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Two out of six sampled residents did not have a copy of their current care plan available for care staff. Only electronic copies were available.</w:t>
            </w:r>
          </w:p>
          <w:p w:rsidR="00EB7645" w:rsidRPr="00BE00C7" w:rsidP="00BE00C7">
            <w:pPr>
              <w:pStyle w:val="OutcomeDescription"/>
              <w:spacing w:before="120" w:after="120"/>
              <w:rPr>
                <w:rFonts w:cs="Arial"/>
                <w:b w:val="0"/>
                <w:lang w:eastAsia="en-NZ"/>
              </w:rPr>
            </w:pPr>
            <w:r w:rsidRPr="00BE00C7">
              <w:rPr>
                <w:rFonts w:cs="Arial"/>
                <w:b w:val="0"/>
                <w:lang w:eastAsia="en-NZ"/>
              </w:rPr>
              <w:t>Ten residents are overdue interRAI reassessment.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initial interRAI assessment and reassessments are conducted within the required contractual timeframes, and the long-term care plans are developed or updated, with sufficient detail related to each resident’s individual needs.</w:t>
            </w:r>
          </w:p>
          <w:p w:rsidR="00EB7645" w:rsidRPr="00BE00C7" w:rsidP="00BE00C7">
            <w:pPr>
              <w:pStyle w:val="OutcomeDescription"/>
              <w:spacing w:before="120" w:after="120"/>
              <w:rPr>
                <w:rFonts w:cs="Arial"/>
                <w:b w:val="0"/>
                <w:lang w:eastAsia="en-NZ"/>
              </w:rPr>
            </w:pPr>
            <w:r w:rsidRPr="00BE00C7">
              <w:rPr>
                <w:rFonts w:cs="Arial"/>
                <w:b w:val="0"/>
                <w:lang w:eastAsia="en-NZ"/>
              </w:rPr>
              <w:t>Ensure evaluation of the resident’s progress towards achieving their goals is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Ensure copies of current care plan documents are readily available for care staff for reference.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1.4.4.1</w:t>
            </w:r>
          </w:p>
          <w:p w:rsidR="00EB7645" w:rsidRPr="00BE00C7" w:rsidP="00BE00C7">
            <w:pPr>
              <w:pStyle w:val="OutcomeDescription"/>
              <w:spacing w:before="120" w:after="120"/>
              <w:rPr>
                <w:rFonts w:cs="Arial"/>
                <w:b w:val="0"/>
                <w:lang w:eastAsia="en-NZ"/>
              </w:rPr>
            </w:pPr>
            <w:r w:rsidRPr="00BE00C7">
              <w:rPr>
                <w:rFonts w:cs="Arial"/>
                <w:b w:val="0"/>
                <w:lang w:eastAsia="en-NZ"/>
              </w:rPr>
              <w:t>Adequate space is provided to allow the consumer and service provider to move safely around their personal space/bed area. Consumers who use mobility aids shall be able to safely maneuvers with the assistance of their aid within their personal space/bed area.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space is provided to allow the resident and staff to move safely around their personal space/bed area. Residents who use mobility aids are able to safely manoeuvre with the assistance of their aid and within their personal space/bed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lift in A wing which is designated for hospital level care residents is currently planned to be upgraded but the work has not yet been completed. The group general manager stated that they are still seeking advice from lift installation companies to work out how this can best be made compliant with the current lift being replaced. There were no hospital level residents in A wing at the time of audit and the staff are aware that this work must be completed prior to the upstairs A wing hospital level care beds being occupied. This was an area identified for improvement from the previous audit which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hospital level residents are not admitted into the designated hospital beds in A wing until the current lift is replaced.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Henrikwest Management Limited - The Beachfront Rest Home</w:t>
    </w:r>
    <w:bookmarkEnd w:id="58"/>
    <w:r>
      <w:rPr>
        <w:rFonts w:cs="Arial"/>
        <w:sz w:val="16"/>
        <w:szCs w:val="20"/>
      </w:rPr>
      <w:tab/>
      <w:t xml:space="preserve">Date of Audit: </w:t>
    </w:r>
    <w:bookmarkStart w:id="59" w:name="AuditStartDate1"/>
    <w:r>
      <w:rPr>
        <w:rFonts w:cs="Arial"/>
        <w:sz w:val="16"/>
        <w:szCs w:val="20"/>
      </w:rPr>
      <w:t>6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