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Lady Bug 2019 Limited - The Lady Bug</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Lady Bug 2019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Lady Bug</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2021</w:t>
      </w:r>
      <w:bookmarkEnd w:id="7"/>
      <w:r w:rsidRPr="009418D4">
        <w:rPr>
          <w:rFonts w:cs="Arial"/>
        </w:rPr>
        <w:tab/>
        <w:t xml:space="preserve">End date: </w:t>
      </w:r>
      <w:bookmarkStart w:id="8" w:name="AuditEndDate"/>
      <w:r w:rsidR="00A4268A">
        <w:rPr>
          <w:rFonts w:cs="Arial"/>
        </w:rPr>
        <w:t>18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Lady Bug 2019 Limited – The Lady Bug is one of three aged related residential care services currently owned by the directors of Kumeu Village Aged Care Limited, and provides care for up to 15 residents (all women) requiring dementia level care. The service opened on the 15 June 2020.</w:t>
      </w:r>
    </w:p>
    <w:p w:rsidRPr="00A4268A">
      <w:pPr>
        <w:spacing w:before="240" w:line="276" w:lineRule="auto"/>
        <w:rPr>
          <w:rFonts w:eastAsia="Calibri"/>
        </w:rPr>
      </w:pPr>
      <w:r w:rsidRPr="00A4268A">
        <w:rPr>
          <w:rFonts w:eastAsia="Calibri"/>
        </w:rPr>
        <w:t xml:space="preserve">This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a director, managers and staff. </w:t>
      </w:r>
    </w:p>
    <w:p w:rsidRPr="00A4268A">
      <w:pPr>
        <w:spacing w:before="240" w:line="276" w:lineRule="auto"/>
        <w:rPr>
          <w:rFonts w:eastAsia="Calibri"/>
        </w:rPr>
      </w:pPr>
      <w:r w:rsidRPr="00A4268A">
        <w:rPr>
          <w:rFonts w:eastAsia="Calibri"/>
        </w:rPr>
        <w:t>The eight areas for improvement raised at the last audit related to staff orientation, medicine storage, a food control plan, personal protective equipment/material safety data sheets, a certificate of public use, having grab rails present in each bathroom, cleaning/laundry services, emergency management and security camera signage have been addressed. There are two areas identified for improvement as a result of this audit related to dietitian review of the menu and the assessment of residents following a fall.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goals/objectives are documented in the objectives and quality improvement plan 2021/2022. The service is utilising the Eden Alternative Principals as the basis of care. The general manager is one of the company owners/directors who works with the other members of the management team including the operations manager, administration manager, quality manager and clinical coordinator/clinical manager that are all based at the Kumeu Village Retirement Home. The clinical nurse manager is responsible for overseeing that the day-to-day services provided at The Lady Bug. The management team work together to ensure the services offered meet residents’ needs, legislation and good practice standards. The Lady Bug is located on a separate premise in Coatesville, a short drive from the Kumeu Village facility.</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programme, complaints management, incident/accident reporting, corrective action planning, hazard management, and infection control data collection. Quality and risk management activities and results are shared with management and staff. Corrective action planning is well documented. An external consultant develops policies which are reviewed and updated by the quality manager to reflect the service’s needs.</w:t>
      </w:r>
    </w:p>
    <w:p w:rsidRPr="00A4268A">
      <w:pPr>
        <w:spacing w:before="240" w:line="276" w:lineRule="auto"/>
        <w:rPr>
          <w:rFonts w:eastAsia="Calibri"/>
        </w:rPr>
      </w:pPr>
      <w:r w:rsidRPr="00A4268A">
        <w:rPr>
          <w:rFonts w:eastAsia="Calibri"/>
        </w:rPr>
        <w:t xml:space="preserve">New staff have an orientation. Staff participate in regular, relevant ongoing education. Applicable staff and contractors maintain current annual practising certificates. Residents and family members confirmed during interview that all their needs and wants are met. The service has a documented rationale for staffing which is implemented.  </w:t>
      </w:r>
    </w:p>
    <w:p w:rsidRPr="00A4268A">
      <w:pPr>
        <w:spacing w:before="240" w:line="276" w:lineRule="auto"/>
        <w:rPr>
          <w:rFonts w:eastAsia="Calibri"/>
        </w:rPr>
      </w:pPr>
      <w:r w:rsidRPr="00A4268A">
        <w:rPr>
          <w:rFonts w:eastAsia="Calibri"/>
        </w:rPr>
        <w:t xml:space="preserve">Residents’ information was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care plans are reviewed every six months or earlier if required, with input from the resident/family/enduring power of attorney (EPOA) as appropriate. File samples reviewed identified integration of allied health services and a team approach. </w:t>
      </w:r>
    </w:p>
    <w:p w:rsidRPr="00A4268A" w:rsidP="00621629">
      <w:pPr>
        <w:spacing w:before="240" w:line="276" w:lineRule="auto"/>
        <w:rPr>
          <w:rFonts w:eastAsia="Calibri"/>
        </w:rPr>
      </w:pPr>
      <w:r w:rsidRPr="00A4268A">
        <w:rPr>
          <w:rFonts w:eastAsia="Calibri"/>
        </w:rPr>
        <w:t>The activities programme involves all staff and is led by an activities coordinator. Staff were observed engaging with residents to meet their needs, preferences and abilities.</w:t>
      </w:r>
    </w:p>
    <w:p w:rsidRPr="00A4268A" w:rsidP="00621629">
      <w:pPr>
        <w:spacing w:before="240" w:line="276" w:lineRule="auto"/>
        <w:rPr>
          <w:rFonts w:eastAsia="Calibri"/>
        </w:rPr>
      </w:pPr>
      <w:r w:rsidRPr="00A4268A">
        <w:rPr>
          <w:rFonts w:eastAsia="Calibri"/>
        </w:rPr>
        <w:t>Medications are managed appropriately in line with accepted guidelines. Medication competencies are completed annually for those involved in the administration of medicines.</w:t>
      </w:r>
    </w:p>
    <w:p w:rsidRPr="00A4268A" w:rsidP="00621629">
      <w:pPr>
        <w:spacing w:before="240" w:line="276" w:lineRule="auto"/>
        <w:rPr>
          <w:rFonts w:eastAsia="Calibri"/>
        </w:rPr>
      </w:pPr>
      <w:r w:rsidRPr="00A4268A">
        <w:rPr>
          <w:rFonts w:eastAsia="Calibri"/>
        </w:rPr>
        <w:t xml:space="preserve">Residents’ food preferences and dietary requirements are identified on admission and reviewed six monthly. Meals are cooked offsite and delivered in hot insulated boxes from Kumeu Village, a local facility owned by the same organisation.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Policies and procedures were available to guide staff in the safe disposal of waste and hazardous substances. Appropriate supplies of personal protective equipment were readily accessible for staff use. Staff have been trained on chemical safety.</w:t>
      </w:r>
    </w:p>
    <w:p w:rsidRPr="00A4268A">
      <w:pPr>
        <w:spacing w:before="240" w:line="276" w:lineRule="auto"/>
        <w:rPr>
          <w:rFonts w:eastAsia="Calibri"/>
        </w:rPr>
      </w:pPr>
      <w:r w:rsidRPr="00A4268A">
        <w:rPr>
          <w:rFonts w:eastAsia="Calibri"/>
        </w:rPr>
        <w:t>The building has a current code of compliance. Clinical equipment has current calibration. Hot water is within the required temperature range. There are internal and external security cameras in use.</w:t>
      </w:r>
    </w:p>
    <w:p w:rsidRPr="00A4268A">
      <w:pPr>
        <w:spacing w:before="240" w:line="276" w:lineRule="auto"/>
        <w:rPr>
          <w:rFonts w:eastAsia="Calibri"/>
        </w:rPr>
      </w:pPr>
      <w:r w:rsidRPr="00A4268A">
        <w:rPr>
          <w:rFonts w:eastAsia="Calibri"/>
        </w:rPr>
        <w:t>There are 15 single occupancy bedrooms. All have hand washing facilities. There are four bathrooms with a toilet and shower for residents’ use. Call bells were present in the bedrooms and bathrooms. Personal space was sufficient for residents, including those who require staff assistance. There is an open plan lounge and dining area, along with two other lounge areas for residents’ use. There is indoor/outdoor flow with a secure deck area and garden area for the residents and their families to use. The facility has adequate heating and ventilation. There is no smoking on site.</w:t>
      </w:r>
    </w:p>
    <w:p w:rsidRPr="00A4268A">
      <w:pPr>
        <w:spacing w:before="240" w:line="276" w:lineRule="auto"/>
        <w:rPr>
          <w:rFonts w:eastAsia="Calibri"/>
        </w:rPr>
      </w:pPr>
      <w:r w:rsidRPr="00A4268A">
        <w:rPr>
          <w:rFonts w:eastAsia="Calibri"/>
        </w:rPr>
        <w:t>Cleaning and laundry services are provided. These services were monitored through the internal audit programme. Residents and family members interviewed confirmed the facility was kept clean and warm.</w:t>
      </w:r>
    </w:p>
    <w:p w:rsidRPr="00A4268A">
      <w:pPr>
        <w:spacing w:before="240" w:line="276" w:lineRule="auto"/>
        <w:rPr>
          <w:rFonts w:eastAsia="Calibri"/>
        </w:rPr>
      </w:pPr>
      <w:r w:rsidRPr="00A4268A">
        <w:rPr>
          <w:rFonts w:eastAsia="Calibri"/>
        </w:rPr>
        <w:t>Emergency policies and procedures provided guidance for staff in the management of emergencies. Staff have current first aid certificates. There is an approved fire evacuation plan and fire evacuation drills are conducted at least six monthly. There were sufficient supplies available on site for use in the event of emergency or an infection outbreak.</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and enablers are not used on site as this is a secure dementia service. There were no restraint or enablers in use at the time of the audit. Staff are provided with training on restraint minimisation. Staff have access to education on managing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control/contain, and manage infections. The programme is reviewed annually. Specialist infection and control advice is accessed as required.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 xml:space="preserve">Aged care specific infection surveillance is undertaken, and results reported through to the quality manager. Follow-up action is implemented when needed. The clinical nurse manager has the role of infection coordinator and confirmed that The Lady Bug has a low rate of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4"/>
        <w:gridCol w:w="1280"/>
        <w:gridCol w:w="104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has developed policies, procedures and processes to meet its obligations in relation to the Code of Health and Disability Services Consumers’ Rights (the Code). There is also a code of rights for care of pets, care of children and care of plants as part of the Eden Alternative Philosophy. Staff interviewed could give examples of the rights and how they apply them in day-to-day care (eg, knocking before entering a resident’s room to show respect). Staff were observed closing doors when commencing cares (privacy). Training on the Code is included as part of the orientation process for all staff employed and in ongoing training. Staff attended training on residents’ rights in January 2021. Attendance records were kept to ensure all staff attend this compulsory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and practice of informed consent and had received education on this in January 2021. Five clinical files reviewed showed that informed consent has been gained appropriately using the organisation’s standard consent form for such things as release of information, photos being taken, transport for outings with a separate form for influenza vaccinations. Staff were observed to gain consent for day-to-day care. Family/whānau were informed of the importance of having Enduring Power of Attorney (EPOA) in place and activated through the admission information pack. All files reviewed had EPOA signed and accompanied by a Health Practitioner’s Certificate of Mental Incapacity.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has cameras throughout the facility including in residents’ rooms. Only one of these cameras was recording at the EPOA request and facility management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residents/family members are given a copy of the Code, which also includes information on the Advocacy Service. Posters and brochures related to the Advocacy Service were also displayed and available in the facility. Family/whānau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visits, activities, and entertainment, as confirmed by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(depending on the National Covid-19 Alert Level), holding a regular high tea at the weekend for family to attend. Family/whānau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Eden Alternative Philosophy, which has a strong focus on animal interaction, health, fitness, and overall wellbeing, and have completed eight of the ten principles. Each day staff strive to support the residents in meaningful activities that give them ownership of tasks such as household chores (eg, folding laundry), which has resulted in better outcomes and lifestyle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implements organisational policies and procedures to ensure complaints processes reflect a fair complaints system that complies with the Code. During interview, family members confirmed they are aware of the complaints process and noted they had no complaints. Complaints and compliments forms are present near the main entrance and include an area for the recording of complaints and compliments. Staff are provided with information on the complaints process during their orientation and as part of the ongoing education programme with the most recent in-service education occurring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maintained. Complaints are very infrequent and the two complaints received have been investigated and responded to in a timely manner by the clinical nurse manager and records are maintained. There have been no complaints received from the Ministry of Health (MOH), Waitemata District Health Board (WDHB) or the Health and Disability Commissioner (HDC) since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being made aware of the Code and the Nationwide Health and Disability Advocacy Service (Advocacy Service) through the admission information provided, discussion with staff and by written information. The Code is displayed in the main foyer together with information on advocacy services, how to make a complaint and feedback forms. Posters are also displayed in a lounge and outside the bathroom. Opportunities are provided for explanations, discussion, and clarification about the Code with the family/whānau, where appropriate, and/or their legal representative, during contact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during interview that they/their relative receives services in a manner that has regard for their dignity, privacy, sexuality, spirituality and choices. Staff were observed to maintain privacy throughout the audit by closing doors to bedrooms. All residents have a private room, decorated with personal mementos and furniture.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continuing outings with family/whanau, and all residents play a part in household chores such as folding laundry.  Care plans included documentation related to the resident’s abilities, and strategies to maximise independence, personalised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on admission,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then annually. A training session on this topic was held last in January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at The Lady Bug who identified as Māori. On interview the resident confirmed satisfaction with the way respect was shown and individual needs were met. She reported being happy that her culture, values and beliefs were recognised and respected. She reported no discrimination. Family and residents were involved in the admission process and in developing the care plan.</w:t>
            </w:r>
          </w:p>
          <w:p w:rsidR="00EB7645" w:rsidRPr="00BE00C7" w:rsidP="00BE00C7">
            <w:pPr>
              <w:pStyle w:val="OutcomeDescription"/>
              <w:spacing w:before="120" w:after="120"/>
              <w:rPr>
                <w:rFonts w:cs="Arial"/>
                <w:b w:val="0"/>
                <w:lang w:eastAsia="en-NZ"/>
              </w:rPr>
            </w:pPr>
            <w:r w:rsidRPr="00BE00C7">
              <w:rPr>
                <w:rFonts w:cs="Arial"/>
                <w:b w:val="0"/>
                <w:lang w:eastAsia="en-NZ"/>
              </w:rPr>
              <w:t>The Māori health plan supports a holistic approach when considering Māori wellbeing and is guided by best practice according to tikanga. Advice was able to be sought from appropriate cultural advisors.</w:t>
            </w:r>
          </w:p>
          <w:p w:rsidR="00EB7645" w:rsidRPr="00BE00C7" w:rsidP="00BE00C7">
            <w:pPr>
              <w:pStyle w:val="OutcomeDescription"/>
              <w:spacing w:before="120" w:after="120"/>
              <w:rPr>
                <w:rFonts w:cs="Arial"/>
                <w:b w:val="0"/>
                <w:lang w:eastAsia="en-NZ"/>
              </w:rPr>
            </w:pPr>
            <w:r w:rsidRPr="00BE00C7">
              <w:rPr>
                <w:rFonts w:cs="Arial"/>
                <w:b w:val="0"/>
                <w:lang w:eastAsia="en-NZ"/>
              </w:rPr>
              <w:t>Cultural awareness training occurred in January 2021 and is part of the orientation programme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on admission and that this information was used to form the basis of the care plan. Resident’s personal preferences, required interventions and special needs were included in care plans reviewed, for example, the request to wear make-up. Family members interviewed expressed that staff are extremely caring and pay attention to detail, meeting their loved one’s needs in a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they had neither witnessed or experienced any discrimination, coercion, harassment, sexual, financial, or other exploitation. Residents felt safe and reported positively on all aspects of interactions with staff. Education sessions have been held on Code of Conduct and staff were able to explain the process if they suspected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is available from specialised services such as podiatry, physiotherapy and mental health services for the older persons. In January 2021, the organisation began holding block education sessions with Kumeu Village, a local aged related residential care (ARRC) facility affiliated with The Lady Bug, to maximise education opportunities for staff. Attendance is monitored to ensure all staff meet compulsory training requirements. The general practitioner (GP) confirmed the service sought prompt and appropriate medical intervention when required and were responsive to medical requests. The clinical nurse manager (CNM) is supported by regular visits from the clinical nurse coordinator (who is the acting clinical manager) from Kumeu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kept well informed about any changes to their/their relative’s status, were advised in a timely manner about any incidents or accidents and outcomes of regular and urgent medical reviews. Staff understood the principles of open disclosure and had attended a training session in January 2021 related to this. Open disclosure is supported by policies and procedures that meet the requirements of the Code. Family members confirmed that they are encouraged to approach the clinical nurse manager (CNM) with any concerns.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not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objectives and quality improvement plan (2021/2022) detail the purpose, values, scope, goals, and objectives of the organisation. The service implements the Eden Alternative Philosophy of care and is working towards achieving the final two (out of 10) Eden Alternative Principals.</w:t>
            </w:r>
          </w:p>
          <w:p w:rsidR="00EB7645" w:rsidRPr="00BE00C7" w:rsidP="00BE00C7">
            <w:pPr>
              <w:pStyle w:val="OutcomeDescription"/>
              <w:spacing w:before="120" w:after="120"/>
              <w:rPr>
                <w:rFonts w:cs="Arial"/>
                <w:b w:val="0"/>
                <w:lang w:eastAsia="en-NZ"/>
              </w:rPr>
            </w:pPr>
            <w:r w:rsidRPr="00BE00C7">
              <w:rPr>
                <w:rFonts w:cs="Arial"/>
                <w:b w:val="0"/>
                <w:lang w:eastAsia="en-NZ"/>
              </w:rPr>
              <w:t>The owner / director (and general manager), and the four other members of the Kumeu Village (KV) management team (operations manager, administration manager, clinical coordinator/clinical manager, and quality manager) monitor performance and progress towards achieving the goals. This includes via evaluating occupancy rates, staffing numbers, ongoing education/training, risks and issues, incidents and accidents, concerns / complaints and compliments, health and safety and other data reported via the balanced score card. The organisation’s values are documented in staff job descriptions and discussed during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have approximately 23 years’ experience in providing aged related residential care (ARCC) including dementia care. The Lady Bug is one of three aged related residential care services currently owned by the two 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works full time at The Lady Bug as an experienced aged care registered nurse and is responsible and is responsible for providing oversight of the clinical care provided to residents and ensuring their day-to-day care needs are met. The clinical nurse manager has worked in The Lady Bug since opening, is being mentored in the management role by the clinical coordinator (who is currently working in the clinical manager role at Kumeu Village on an interim basis), and has attended more than eight hours of relevant education in the past 12 months. The clinical nurse manager reports to the clinical coordinator/clinical manager and the operations manager (appointed in November 2020) at KV.  </w:t>
            </w:r>
          </w:p>
          <w:p w:rsidR="00EB7645" w:rsidRPr="00BE00C7" w:rsidP="00BE00C7">
            <w:pPr>
              <w:pStyle w:val="OutcomeDescription"/>
              <w:spacing w:before="120" w:after="120"/>
              <w:rPr>
                <w:rFonts w:cs="Arial"/>
                <w:b w:val="0"/>
                <w:lang w:eastAsia="en-NZ"/>
              </w:rPr>
            </w:pPr>
            <w:r w:rsidRPr="00BE00C7">
              <w:rPr>
                <w:rFonts w:cs="Arial"/>
                <w:b w:val="0"/>
                <w:lang w:eastAsia="en-NZ"/>
              </w:rPr>
              <w:t>The Lady Bug has an Aged Related Residential Care Contract with Waitemata District Health Board (WDHB) for the provision of dementia care services. There are 15 residents receiving services at dementia level of care, including one resident under the age of 65 who has privately funded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(currently the clinical manager) at Kumeu Village is responsible for the services provided in the clinical nurse manager’s absence. The clinical coordinator visits The Lady Bug most days as verified by staff and managers interviewed and is familiar with the residents, staff and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has a quality and risk management system which is understood and implemented by service providers. This is linked to the objectives and quality improvement plan, goals, and the ‘balanced score card data’. Quality related objectives are identified. The quality and risk programme includes compliments and complaints management, internal audits, satisfaction surveys, incident and accident reporting, hazard management, health and safety, infection control data collection and management. The facility is restraint free. Regular internal audits are conducted, which cover relevant aspects of service, including aspects of care, medication management, documentation, and laundry and cleaning services. There is a high level of compliance in the audit outcomes sighted. A resident satisfaction survey is scheduled to occur in April 2021.</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for staff electronically. These have been developed by an external consultant and then reviewed and localised to reflect the needs of The Lady Bug. Amended or new policies are circulated to all staff via the electronic patient management system. The quality manager is able to identify whether these are being reviewed by message recipients. The quality manager is responsible for document control processes. Policies and procedures are discussed where applicable during orientation and the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and risk activities are monitored monthly via the ‘balanced score card’, with the service identifying targets for aspects including occupancy, some financial aspects of service delivery/staffing, human resources, and care related indicators. The benchmark data is monitored monthly, and results reported via traffic light tables, and includes data for the previous month, and previous three months for comparison. The clinical nurse manager is responsible for reviewing and ensuring action is taken for any clinical variances. </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Quality information is shared with all staff via shift handover as well as via the monthly staff meetings. The minutes of staff meetings are made available to staff electronically. All staff interviewed confirmed they were kept informed of relevant quality and risk information including new or amended policies and procedures. Quality and risk activities and outcomes are also discussed at the KV weekly management meetings with the operations manager and the clinical coordinator/clinical manager representing The Lady Bug.</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hazards/risks are identified in the hazard register. The hazard register and mitigation strategies have been recently reviewed. Organisation risks are documented and reviewed at least annually or sooner where indicated. The general manager/owner discussed the issues related to the Covid-19 pandemic and initiated a range of precautionary measures before these were officially recommended. The general manager/owner is satisfied any concerns or risks about services at The Lady Bug are being identified and communicated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electronically by staff. The clinical nurse manager is responsible for investigating the reported events and implementing any required care in a timely manner and disclosing the events to the resident and/or designated next of kin. Family members interviewed confirmed they are kept informed in a timely manner of any events or changes in their relative’s health status. A review of reported events including for challenging behaviour, safety concerns, falls (with and without injuries), a bruise, and a medication error demonstrated that incident reports are completed, investigated, and responded to in a timely manner. Neurological observations are not occurring post unwitnessed falls as detailed in policy (refer to 1.3.8.2). Staff advise they communicate any incidents and accidents to staff on the next shift during handover. The number and type of reported incidents/events have been discussed with staff at the staff meetings as verified by interview and detailed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quality manager and clinical coordinator could identify the types of events that are required to be reported as an essential notification to external agencies including the Ministry of Health. Notifications that have been made were discussed and related to the notification of the change in clinical manager. There have been no other events requiring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Recruitment of new staff is undertaken by the management team at KV. The recruitment process includes staff completing an application form, interviews, conducting reference checks, police vetting, having an employment contract and job description. The employment contract includes a statement advising staff of privacy / confidentiality requirements. Staff are required to read and sign the staff code of conduct / house rules.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employed and contracted registered health professionals have a current annual practising certificate (APC).  </w:t>
            </w:r>
          </w:p>
          <w:p w:rsidR="00EB7645" w:rsidRPr="00BE00C7" w:rsidP="00BE00C7">
            <w:pPr>
              <w:pStyle w:val="OutcomeDescription"/>
              <w:spacing w:before="120" w:after="120"/>
              <w:rPr>
                <w:rFonts w:cs="Arial"/>
                <w:b w:val="0"/>
                <w:lang w:eastAsia="en-NZ"/>
              </w:rPr>
            </w:pPr>
            <w:r w:rsidRPr="00BE00C7">
              <w:rPr>
                <w:rFonts w:cs="Arial"/>
                <w:b w:val="0"/>
                <w:lang w:eastAsia="en-NZ"/>
              </w:rPr>
              <w:t>Staff were provided with an orientation to The Lady Bug before services commenced. The shortfall from the last audit has been addressed.  The ongoing staff orientation programme includes all necessary components relevant to the role. This includes spending time with the clinical nurse manager at The Lady Bug and completing an onsite checklist, attending an orientation day with the quality manager at KV who is also responsible for oversight of the staff training programme. These sessions are scheduled when there are five or more new staff employed at KV and The Lady Bug. There is a manual/workbook that staff are provided that includes a checklist of activities to be signed off as completed, and a range of questionnaires to be completed. These are now being completed electronically. Staff reported that the orientation process included a period of being buddied with a senior staff member and this suitably prepared them for their role and responsibilities. The clinical nurse manager has completed a performance appraisal for all staff and verified staff understand The Lady Bug systems, policies/procedures and equipment/environment.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ongoing education programme that includes the Eden Alternative Philosophy and topics to meet ARRC contract requirements. Topics are booked in block sessions that are repeated several times and staff are booked to attend the mandatory sessions. The education in January 2021 included complaints, open disclosure, advanced directives, infection prevention and control, health and safety, treaty of Waitangi, cultural safety and support, privacy/dignity, enduring power of attorney, abuse and neglect, waste management and quality and risk. The March in-service topic includes infection prevention and control, pandemic planning and fire and emergency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WDHB. There were no staff vacancies.</w:t>
            </w:r>
          </w:p>
          <w:p w:rsidR="00EB7645" w:rsidRPr="00BE00C7" w:rsidP="00BE00C7">
            <w:pPr>
              <w:pStyle w:val="OutcomeDescription"/>
              <w:spacing w:before="120" w:after="120"/>
              <w:rPr>
                <w:rFonts w:cs="Arial"/>
                <w:b w:val="0"/>
                <w:lang w:eastAsia="en-NZ"/>
              </w:rPr>
            </w:pPr>
            <w:r w:rsidRPr="00BE00C7">
              <w:rPr>
                <w:rFonts w:cs="Arial"/>
                <w:b w:val="0"/>
                <w:lang w:eastAsia="en-NZ"/>
              </w:rPr>
              <w:t>The roster for a three-week period was reviewed. The clinical nurse manager (CNM) works weekday mornings on site and is available on call when not on site. The clinical coordinator / clinical manager and quality manager at Kumeu Village share an on-call roster and are also available to provide support to The Lady Bug staff if this is required. The CNM, quality manager and clinical coordinator / clinical manager have current interRAI competency.</w:t>
            </w:r>
          </w:p>
          <w:p w:rsidR="00EB7645" w:rsidRPr="00BE00C7" w:rsidP="00BE00C7">
            <w:pPr>
              <w:pStyle w:val="OutcomeDescription"/>
              <w:spacing w:before="120" w:after="120"/>
              <w:rPr>
                <w:rFonts w:cs="Arial"/>
                <w:b w:val="0"/>
                <w:lang w:eastAsia="en-NZ"/>
              </w:rPr>
            </w:pPr>
            <w:r w:rsidRPr="00BE00C7">
              <w:rPr>
                <w:rFonts w:cs="Arial"/>
                <w:b w:val="0"/>
                <w:lang w:eastAsia="en-NZ"/>
              </w:rPr>
              <w:t>Breakfasts are provided by care partners, and the lunch and evening meal is cooked and delivered to The Lady Bug by KV.</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 partners work 7am to 3pm, and one care partner from 3pm to 11 pm, and another working from 3 pm to 9pm. When there is one care partner on duty, there is another care partner available on site on call. A care partner facilitates the activities programme five days a week (Tuesday to Saturday) with activities also facilitated by the other care partners. Cleaning and laundry duties are shared by care partners over the 24-hour period, with residents participating as willing under staff supervision as part of the care home activities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Another designated staff member is responsible for the grounds, building and vehicle management and maintenance. An animal carer is on site daily to assist caring for the resident’s personal pets as well as the care home farm animals.</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and medicine competency is on duty at all times. The CNM advised that additional staff hours are allocated to meet the care needs of the residents as and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confirmed their residents care needs are being well met.</w:t>
            </w:r>
          </w:p>
          <w:p w:rsidR="00EB7645" w:rsidRPr="00BE00C7" w:rsidP="00BE00C7">
            <w:pPr>
              <w:pStyle w:val="OutcomeDescription"/>
              <w:spacing w:before="120" w:after="120"/>
              <w:rPr>
                <w:rFonts w:cs="Arial"/>
                <w:b w:val="0"/>
                <w:lang w:eastAsia="en-NZ"/>
              </w:rPr>
            </w:pPr>
            <w:r w:rsidRPr="00BE00C7">
              <w:rPr>
                <w:rFonts w:cs="Arial"/>
                <w:b w:val="0"/>
                <w:lang w:eastAsia="en-NZ"/>
              </w:rPr>
              <w:t>Two care partners have completed an industry approved qualification in dementia care, and one staff member is undertaking this training. The CNM and the quality manager are aware of the ARCC contractual requirements to ensure all care partners complete an industry approved qualification within 18 months of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five residents’ files sampled for review. Clinical notes were current and integrated with GP and allied health service provider notes. This includes interRAI assessment information entered into the Momentum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Records were legible with the name and designation of the person making the entry identifiable. The Lady Bug uses an electronic system for all documentation. Each staff member has a unique password to maintain privacy and only have access to sections relevant to their position. The only paper information is consents signed on admission which are scanned into the system. These paper documents are stored in a locked filing cabinet in an area with no access by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 tour of the facility provides opportunity to view vacant rooms, meet staff and ensure needs would be meet. All residents are required to have an activated EPOA prior to admission. Specialist referral to the service was confirmed.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they were satisfied with the information process and the information that had been made available to them on admission. The five files reviewed contained complete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Family are first asked to accompany the resident, but if unavailable, a staff member will act as an escort. The service prints off transfer information from the electronic system, including contact information and care plan and recent medical notes, GP contact details and any medication given to facilitate transfer of residents to and from acute care services. There is open communication between all services, the resident and the family/whānau. At the time of transition between services, appropriate information is provided for the ongoing management of the resident. If transferring to another facility, a verbal handover is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Medication competency evaluations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and stored in the locked medication trolley in a locked room. Medication competent staff check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not in use at The Lady Bug, but appropriate storage and procedures are available should they be required. The controlled drug register had no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The shortfall from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not appropriate for residents to be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 medication error made since last audit had been handled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are prepared off site at Kumeu Village by a team of four cooks and kitchen staff, led by a chef manager, who have all completed appropriate food safety training.  Breakfast is made up of cereal and toast which is made on site at The Lady Bug. Lunch and dinner meals are transported in insulated hot boxes and placed in the preheated oven if not being served immediately. The evening meal is stored in the fridge and heated later in the day. Recordings were sighted at point of service and were within recommended temperature levels. There is provision on site for staff to prepare additional food if required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follows summer and winter patterns. At the time of audit, evidence was unable to be sighted that the menu has been approved by a qualified dietitian as being in line with recognised guidelines for older people. This was raised during the audit for Kumeu Village and is now under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control plan with Auckland City Council that is current until March 2022. 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completed and dietary profile developed incorporating personal preferences, required texture, and modified cutlery. A mealtime observed during the audit showed a calm atmosphere and residents being assisted in a dignified manner with sufficient time to eat their meal in an unhurried manner. Residents and family interviewed expressed satisfaction with the meals. Birthday and special occasions were celebrated.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is a unique facility in that it only accepts female residents who suffer from dementia. If the needs of a resident change and they are no longer suitable for the services offered, a referral for reassessment to the NASC is made and a new placement found, in consultation with the resident and family/whānau. The CNM gave an example of a resident requiring a higher level of care. In consultation with the resident, family/EPOA and GP a reassessment was undertaken and the resident transferred to an affiliated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behaviour/mood/depression, as a means to identify needs for initial care. The interRAI assessments are then completed within 21 days and incorporated into the long-term care plan. The sample of care plans reviewed had an integrated range of resident-related information. All residents had a current interRAI assessment completed by the CNM the trained interRAI assessor on site. The quality manager and clinical manager also have current interRAI competency.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Residents requiring behaviour monitoring had these well documented with effective de-escalation strategies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and medical notations clearly written, informative and relevant. Any change in care required is documented and verbally passed on to relevant staff through hand over, progress notes, and short-term care plans as required. The electronic system has a tick box labelled handover that generates notations requiring further input for the next shift. All staff read these at the start of each shift.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With the small number of residents all staff work very much as a team and everyone helps out in any way they can.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guides the programme and documents the day’s activities on a board in the open planned lounge/dining area. All staff are actively involved in helping the residents with household chores, such as setting the table and helping clean up after meals if they are happy to do so. Staff are continually interacting with residents and lots of laughter was observed during the audit. Shorter and more frequent activities are held to maintain involvement. During the day, residents are free to move around the facility as they wish but are all encouraged to regather in the lounge for meals and morning/afternoon teas and then have another activity. There is easy access to a secure outside area where residents are free to walk and exercise their pets. There is an animal carer who cares for the miniature horses, goats, chickens/ducks and staff take the residents over to help feed the animals and groom them. Two of the residents have their own dogs on site and are assisted to care for them. Van outings occur twice a week in a twelve-seater vehicle visiting local sites, going to the park, stopping for an ice-cream. Each resident has an activity plan covering the 24-hour period with triggers and effective deescalating strategies, using aspects from residents’ past routines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there is an area of concern it is flagged in the electronic system and is presented at shift handover ensuring further action is taken. If any change is noted, it is reported to the CNM.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intervention of care. An example of a short-term care plan being consistently reviewed and progress evaluated as clinically indicated was noted for a resident’s wound. Unresolved problems are added to long term care plans.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Monitoring was observed for such things as challenging behaviour, fluid balance, regular monthly weights and vital signs; however, for four unwitnessed fall incidents reviewed there was no evidence of consistent neurological monitoring for the required time frame as set out in the organisation’s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another medical practitioner. If the need for non-urgent services are indicated or requested, the GP sends a referral to seek specialist input. The CNM gave an example of referral to the mental health services for older people which was well documented in the resident’s file. The resident and the family/whānau are kept informed of the referral process, as verified by interviews with family/whānau. Any acute/urgent referrals are attended to immediately, such as sending the resident to the emergency department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were stored in designated and secure areas. Safety data sheets were sighted for chemicals in use. Staff have been provided with training on chemical safety and handling during orientation.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aprons, masks, and eye protection. The shortfall from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would report inadvertent exposures to hazardous substances and blood and body fluids to the manager. Staff confirmed receiving education on handling chemicals and waste as part of the orientation and ongoing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code of compliance certificate for the building was issued on 17 June 2020.  The shortfall from the last audit has been addressed. The facility has two levels. The upper level is used by staff only. The resident care area is on the ground level.  A safety gate prevents residents from going upstairs.</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Calibration of bio medical equipment was current as confirmed in documentation reviewed, and observation of the environment. Hot water temperatures are monitored monthly on a rotating basis in resident care areas and are within the required range. The environment was hazard free, residents were safe, and independence is promoted. Grab rails are present in all the bathrooms and where the hallway has an incline. This now meets the standards.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using tank water supply. There are processes in place for the regular refilling of water supplies. The water supply has filters and a UV lamp installed between the tank and point of use. The maintenance staff monitor when these are due for changing. The septic tanks are emptied by a contractor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vehicle has a current registration and warrant of fitness and is serviced regularly.</w:t>
            </w:r>
          </w:p>
          <w:p w:rsidR="00EB7645" w:rsidRPr="00BE00C7" w:rsidP="00BE00C7">
            <w:pPr>
              <w:pStyle w:val="OutcomeDescription"/>
              <w:spacing w:before="120" w:after="120"/>
              <w:rPr>
                <w:rFonts w:cs="Arial"/>
                <w:b w:val="0"/>
                <w:lang w:eastAsia="en-NZ"/>
              </w:rPr>
            </w:pPr>
            <w:r w:rsidRPr="00BE00C7">
              <w:rPr>
                <w:rFonts w:cs="Arial"/>
                <w:b w:val="0"/>
                <w:lang w:eastAsia="en-NZ"/>
              </w:rPr>
              <w:t>External deck and garden areas are safely maintained and were appropriate to a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that any requests are appropriately actioned and that they are happy with the environment. The maintenance book verified that timely action is taken to address any facility or equipment related maintenance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bathroom facilities throughout the facility. Privacy locks are present on the doors. Staff can override these if required for resident safety. Hand basins are present in each resident’s bedroom. Appropriately secured handrails are provided in the toilet/shower areas. There are separate toilet facilities for staff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single occupancy. Rooms are personalised with furnishings, photos and other personal items displayed. Residents were sighted mobilising inside and outside the facility independently or with staff support. </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inside and outside the building, including when assistance was required and to safely exercise their pets. The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planned lounge and dining room, and two other smaller lounges for residents’ use. One of the smaller lounges has a television. There are multiple external garden and deck areas that has appropriate furniture and shade. The residents and family members interviewed confirmed they enjoy the space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 lists detail how the cleaning services are to be provided. All laundry including resident’s personal clothing is washed daily by the caregivers, with willing residents assisting as part of the activities of daily living programme. There is one washing machine and one clothes drier on site in a designated laundry building. Chemicals are stored safely. This now meets the standards.</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confirmed the facility is kept clean and tidy and residents’ laundry is normally washed and returned in a timely manner. Audits of cleaning and laundry services were undertaken as scheduled and reports demonstrated a high level of compliance with the service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 partners interviewed confirmed being provided with training on the safe handling of chemicals and had written instructions, and safety instructions readily available on the use of products and required cleaning processes/activities. There is a cleaning schedule to ensure all residents’ bedrooms gets a full clean at least twice a week and spot cleaned in between, and bathrooms are cleaned after use and at least daily. The other living areas are cleaned at least daily. </w:t>
            </w:r>
          </w:p>
          <w:p w:rsidR="00EB7645" w:rsidRPr="00BE00C7" w:rsidP="00BE00C7">
            <w:pPr>
              <w:pStyle w:val="OutcomeDescription"/>
              <w:spacing w:before="120" w:after="120"/>
              <w:rPr>
                <w:rFonts w:cs="Arial"/>
                <w:b w:val="0"/>
                <w:lang w:eastAsia="en-NZ"/>
              </w:rPr>
            </w:pPr>
            <w:r w:rsidRPr="00BE00C7">
              <w:rPr>
                <w:rFonts w:cs="Arial"/>
                <w:b w:val="0"/>
                <w:lang w:eastAsia="en-NZ"/>
              </w:rPr>
              <w:t>Instructions for managing emergency exposures to chemicals is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known by staff. These include reference to the special needs of residents in a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was approved by the New Zealand Fire Service with a letter to the provider verifying this sighted; dated 12 April 2020. A trial evacuation takes place six-monthly. The most recent fire drill was conducted on 7 December 2020. The orientation programme includes fire and security training, and staff were provided with training on the fire and emergency procedures before The Lady Bug opened for residents.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dry food for three days, water, blankets, continence products, other commonly used consumables, and meet the requirements for up to 15 residents. There are two water tanks that are linked to the fire safety systems only and not used for day-to-day activities. There are other water tanks which are used for the day-to-day water supplies and these are monitored and refilled by water tankers as required. There is a new generator on site, and this is tested monthly. The maintenance staff member advised there is sufficient diesel readily available to provide power to all areas of the facility for longer than eight hours.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This includes bells that alert staff that a resident is trying to get out of bed. They alert via an audible sound and notification of the room number / location through to a centralised panel. A call bell and emergency bell tested at random were fully functioning.</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Each resident’s bedroom has a magnetic door lock, and residents have a wrist band that unlocks their bedroom door when they are standing in the corridor outside their bedroom door. This protects residents’ personal space from other wandering residents. These doors are not locked when residents want to open them from inside the bedroom, are linked to the fire evacuation procedures and automatically unlock when the fire safety systems are activated. Staff have universal access devices that enable access to any room/area. External doors and windows are locked at a predetermined time. Staff are required to regularly check residents including overnight. External and internal security cameras are in use monitoring public areas and these cameras are recording. The images are retained for three weeks.  There are also security cameras present in each resident’s bedroom. They display in real time to a central monitor and enable staff to monitor residents including overnight while minimising the potential disruption to the resident’s rest. The cameras can be activated for the recording of images. This only occurs at the EPOA’s request and with management agreement, and a specific written consent form is required to be completed. The EPOA of one resident confirms they have requested the cameras be activated and recording and this is occurring. The other family members interviewed confirmed being informed of the presence of cameras in the residents’ bedrooms and purpose (not recording) and are fully supportive of these arrangements. Signage alerts visitors that security cameras are in use. The shortfalls from the last audit have all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and opening external windows. Heating is provided by wall mounted heat pumps in each bedroom and lounge/recreation areas. Staff are responsible for ensuring the temperature is maintained at a comfortable level. Areas were at an appropriate temperature and well ventilated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There is no smoking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(last in May 2020).  </w:t>
            </w:r>
          </w:p>
          <w:p w:rsidR="00EB7645" w:rsidRPr="00BE00C7" w:rsidP="00BE00C7">
            <w:pPr>
              <w:pStyle w:val="OutcomeDescription"/>
              <w:spacing w:before="120" w:after="120"/>
              <w:rPr>
                <w:rFonts w:cs="Arial"/>
                <w:b w:val="0"/>
                <w:lang w:eastAsia="en-NZ"/>
              </w:rPr>
            </w:pPr>
            <w:r w:rsidRPr="00BE00C7">
              <w:rPr>
                <w:rFonts w:cs="Arial"/>
                <w:b w:val="0"/>
                <w:lang w:eastAsia="en-NZ"/>
              </w:rPr>
              <w:t>The CNM is the designated IPC coordinator, whose role and responsibilities are defined in a job description. Infection control matters, including surveillance results, are reported monthly to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QR Signage at the main entrance to the facility requests anyone who is visiting the facility to scan in for COVID-19 tracking purposes.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The Lady Bug opened. She has attended relevant study days as verified in training records sighted. Additional support and information are accessed from the infection control team at Kumeu Village,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 CNM confirmed sufficient stock of personal protective equipment was on hand during recent COVID-19 restrictions and was able to explain the facility’s response at the different pandemic response lockdown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partners perform the tasks of cleaning, laundry and food service, and staff were observed following organisational policies, such as appropriate use of hand-sanitisers and good hand-washing technique.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quality manager and CNM. Content of the training is documented and evaluated to ensure it is relevant, current and understood. IPC training occurred in August 2020 and March 2021. A record of attendance is maintained to ensure all staff complete compulsory sessions.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encouraging residents to remain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tract and the upper and lower respiratory tract. The IPC coordinator reviews all reported infections and these are documented on the electronic system. New infections and any required management plan are discussed at handover and documented in progress notes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graphs are formulated and discussed, identification of possible trends, possible causative factors and required actions are discussed. This data is analysed and developed into bar graphs, so comparison can be made month to month. Any trends observed are followed up. This information is shared with the quality manager and feedback given to staff and used as an opportunity to remind staff of preventative measures, such as hand hygiene.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at The Lady Bug since its opening and they have a low rate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has a policy and procedure available for staff on the use of restraint and enablers. Definitions of restraint and enablers aligns with the standards. The policy notes restraint is not used at The Lady Bug. Staff are provided with training on the restraint and enabler policy during orientation and as part of the ongoing education programme and confirm restraints and enablers are not used. Staff have also been provided with training on managing challenging behaviours and were observed to engage with residents in a meaningful way with activities, diversion, and distraction where applicable. Family members interviewed confirmed staff interact with their family member in a respectful manner.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1"/>
        <w:gridCol w:w="1280"/>
        <w:gridCol w:w="5031"/>
        <w:gridCol w:w="2577"/>
        <w:gridCol w:w="1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while providing a variety of food for the residents, has not been reviewed by a qualified dietitian since January 2019. This was raised as a finding in the facility where the food is prepared in a recent audit but sign off was not able to be sighted on the day of this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yet to be signed off as suitable and in line with recognised nutritional guidelines for older people.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in use is assessed as meeting the needs of the residents by a qualified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 fall management of unwitnessed fall requirements as set out in the organisation’s policies were not being carried out in four incidents reviewed. Incident reports were completed, families notified all other documentation was detailed and accurate, but neurological recordings were inconsistently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frequency of neurological observations is not being undertaken in accordance with the organisation’s policy and procedure following an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is undertaken of residents following a fall in accordance with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Lady Bug 2019 Limited - The Lady Bug</w:t>
    </w:r>
    <w:bookmarkEnd w:id="58"/>
    <w:r>
      <w:rPr>
        <w:rFonts w:cs="Arial"/>
        <w:sz w:val="16"/>
        <w:szCs w:val="20"/>
      </w:rPr>
      <w:tab/>
      <w:t xml:space="preserve">Date of Audit: </w:t>
    </w:r>
    <w:bookmarkStart w:id="59" w:name="AuditStartDate1"/>
    <w:r>
      <w:rPr>
        <w:rFonts w:cs="Arial"/>
        <w:sz w:val="16"/>
        <w:szCs w:val="20"/>
      </w:rPr>
      <w:t>17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