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Oxford Court Lifecare Limited - Oxford Court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Oxford Court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Oxford Court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January 2021</w:t>
      </w:r>
      <w:bookmarkEnd w:id="7"/>
      <w:r w:rsidRPr="009418D4">
        <w:rPr>
          <w:rFonts w:cs="Arial"/>
        </w:rPr>
        <w:tab/>
        <w:t xml:space="preserve">End date: </w:t>
      </w:r>
      <w:bookmarkStart w:id="8" w:name="AuditEndDate"/>
      <w:r w:rsidR="00A4268A">
        <w:rPr>
          <w:rFonts w:cs="Arial"/>
        </w:rPr>
        <w:t>29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Oxford Court Lifecare provides care for up to 72 rest home and hospital residents.  On the day of the audit there were 66 residents.  </w:t>
      </w:r>
    </w:p>
    <w:p w:rsidRPr="00A4268A">
      <w:pPr>
        <w:spacing w:before="240" w:line="276" w:lineRule="auto"/>
        <w:rPr>
          <w:rFonts w:eastAsia="Calibri"/>
        </w:rPr>
      </w:pPr>
      <w:r w:rsidRPr="00A4268A">
        <w:rPr>
          <w:rFonts w:eastAsia="Calibri"/>
        </w:rPr>
        <w:t>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relatives, staff, the GP and management.</w:t>
      </w:r>
    </w:p>
    <w:p w:rsidRPr="00A4268A">
      <w:pPr>
        <w:spacing w:before="240" w:line="276" w:lineRule="auto"/>
        <w:rPr>
          <w:rFonts w:eastAsia="Calibri"/>
        </w:rPr>
      </w:pPr>
      <w:r w:rsidRPr="00A4268A">
        <w:rPr>
          <w:rFonts w:eastAsia="Calibri"/>
        </w:rPr>
        <w:t>The general manager (non-clinical) has been in her role for eight months.  She is supported by the quality manager (manager of the sister facility) two care managers, an administration assistant, and experienced staff.</w:t>
      </w:r>
    </w:p>
    <w:p w:rsidRPr="00A4268A">
      <w:pPr>
        <w:spacing w:before="240" w:line="276" w:lineRule="auto"/>
        <w:rPr>
          <w:rFonts w:eastAsia="Calibri"/>
        </w:rPr>
      </w:pPr>
      <w:r w:rsidRPr="00A4268A">
        <w:rPr>
          <w:rFonts w:eastAsia="Calibri"/>
        </w:rPr>
        <w:t>The service has addressed the previous partial provisional shortfalls around completion of the building, call bell installation, and the fire evacuation plan.</w:t>
      </w:r>
    </w:p>
    <w:p w:rsidRPr="00A4268A">
      <w:pPr>
        <w:spacing w:before="240" w:line="276" w:lineRule="auto"/>
        <w:rPr>
          <w:rFonts w:eastAsia="Calibri"/>
        </w:rPr>
      </w:pPr>
      <w:r w:rsidRPr="00A4268A">
        <w:rPr>
          <w:rFonts w:eastAsia="Calibri"/>
        </w:rPr>
        <w:t xml:space="preserve">This surveillance audit identified shortfalls around wound interventions and documentation, and monitoring charts.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functions in a way that complies with the Health and Disability Commissioner Code of Health and Disability Services Consumers' Rights (the Code).  There is evidence that residents and family are kept informed.  A system for managing complaints is in place,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Oxford Court has a strategic plan and an annual quality and risk management programme that outlines objectives for the year and the internal audit programme and a health and safety programme which includes hazard management.  Aspects of quality data including incident and accident data are reported at the various meetings.  Oxford Court has comprehensive job descriptions for all positions.  There is an annual in-service training programme and staff are supported to undertake external training.  The service has a documented rationale for determining staffing levels and residents and relatives reported staffing levels are sufficient to meet resident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Assessments, care plans and evaluations are completed by the registered nurses within the required timeframe.  Care plans are written in a way that enables all staff to clearly follow their instructions.  Each resident has access to an individual and group activities programme.  The group programme is varied and interesting.  Medication is stored appropriately in line with legislation and guidelines.  Staff have had education around medication management and all staff who administer medications have completed a competency assessment.  Meals are provided by an external company.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There is sufficient space to allow the movement of residents around the facility using mobility aids.  The outdoor areas are safe and easily accessible for residents using mobility aids.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documented definition of restraint and enablers that aligns with the definition in the standards.  There is a restraint register and a register for enablers.  Oxford Court remain restraint free.  No residents were using enablers.  Staff are trained in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Covid-19 was well planned for.  Policies, procedures and the pandemic plan have been updated to include Covid-19.  Adequate supplies of personal protective equipment were sighted.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 register is maintained by the general manager.  There have been nine complaints (four in 2019 and five in 2020 and none to date in 2021) since the previous audit in February 2019.  Verbal and written complaints are documented.  All complaints have documented: investigation, timelines, corrective actions when required and resolutions.  Results are fed back to complainants.  The service has identified a corrective action around communication as a result of complaints which is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complaint which has been lodged with the Health and Disability Commissioner which is ongoing.  All evidence requested has been submitted and the service is awaiting the response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that complaints are discussed with them at staff meetings, and they notify RNs and/or the management if any residents and family members want to make a complaint.  Interview with residents and relatives demonstrated an understanding of the complaints process and confirmed information around the complaints process is provided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information is provided at entry to residents and family/whānau.  Four residents interviewed (two rest home, two hospital) stated that they were welcomed on entry and were given time and explanation about the services and procedures.  The general manager and the two care managers were available to residents and relatives and they promote an open-door policy.  Incident forms reviewed in January 2021 evidenced that relatives had been notified on all occasions.  Two hospital relatives interviewed advised that they are notified of incidents and when residents’ health status changes promptly.  The staff interviewed (two registered nurses, one enrolled nurse, one general manager, six caregivers, two activity coordinators), fluently described instances where relatives would be notified.  Newsletters, emails and chats using ‘WhatsApp’ were utilised to keep relatives and residents connected and informed.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Oxford Court Lifecare is privately owned and provides care for up to 72 rest home and hospital level residents.  On the day there were 66 residents.  There were 14 rest home level and 52 hospital including one resident on a Long-Term Support - Chronic Health contract (LTS-CHC).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across two floors with lift access to the first floor.  The ‘new building’ has been fully completed and opened in December 2019.  There is currently one large double room which is shared by a married couple.  The room has a full ensuite and has two call bells in place beside each bed.  The double room capacity is included in the total number of residents.  The general manager reported this room will only be used as a double room for married couples.  Otherwise, the room will be single occupancy for a palliative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interim general manager (non-clinical) has been in the role for eight months and is the regional manager for the company.  She has a background in project management and has been involved in aged care for 3 years.  She is supported by the facility manager from the sister facility who has a background in quality and risk management.  They are supported by two care managers (both registered nurses) one for each floor.  The care manager for the Reid unit has been in her role for 18 months and has worked for the company for 14 years.  The care manager for the Maher unit has been in her role for 18 months and has experience in management.  The general manager/regional manager meets with the directors frequently and provides a monthly report of clinical and non-clinical aspects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five-year business plan, and an annual, quality and risk management plan which has specific annual quality goals identified that link to the strategic plan and are reviewed quarterly.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interim general manager has completed more than eight hours professional development, including a leadership and management day, district health board emergency management course, and attended the Covid-19 response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managers have attended a medico legal forum, and study days through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annual quality plan for 2020/2021 has been implemented and is currently under review.  An internal audit schedule is in place.  Corrective actions have been developed where compliance is less than expected.  Discussion of quality data is documented in the meeting minutes reviewed for staff, combined quality/health and safety/infection control, RN/clinical and resident meetings.  Resident and relatives’ meetings are held with follow-up of issues and discussions documented.  Interviews with the management team, registered nurses, and caregivers confirmed that the quality programme is implemented, and results are communicated to staff and relevant people.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surveys are conducted annually.  The resident/relative survey was last conducted late in 2020, results were being collated at the time of the audit.  Preliminary results evidence overall satisfaction, especially around the friendliness of staff.  Lower satisfaction around answering of call bells.  The 2019 satisfaction results evidenced a high level of satisfaction in the Reid unit with all aspects of activities (time, variety, frequency), and care.  The Maher unit satisfaction results evidenced a high satisfaction around all the variety of activities, and the environment.  Corrective actions were implemented in areas of lower satisfaction.  A separate food services audit is completed which evidenced overall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interim general manager is the health and safety officer and has completed health and safety training around workplace safety.  The health and safety committee (quality committee) are representative from all departments.  Oxford Court collects information on resident incidents and accidents as well as staff incidents/accidents and provides follow-up where required.  A health and safety component is included in the annual competencies which staff complete and is part of the orientation of new staff.  Hazards are identified on hazard identification forms.  The hazard register is relevant to the service and was last updated in March 2020.  The general manager reported an average 33% staff turnover in 2020.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 the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Accidents and near misses are investigated by the care managers who analyse data for trending.  There is a discussion of incidents/accidents at monthly staff meetings, health and safety/IC/quality meetings and RN/clinical meetings, including actions to minimise recurrence.  Ten incident forms (five hospital and five rest home) sampled from January 2021 document clinical follow-up of residents is conducted by a registered nurse.  The electronic event forms have a section to indicate if family have been informed (or not) of an incident/accident, and these were fully completed, and the reason was documented if the notification did not occur.  Neurological observations were completed for all un-witnessed falls.  Opportunities to minimise future risks (where possible) were identified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management team confirmed that there is an awareness of the requirement to notify relevant authorities in relation to essential notifications.  There has been a total of five section 31 notifications reported since the last audit for pressure injuries of stage 3 or higher.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staff training and development to guide management to ensure that appropriate people are recruited to vacant positions.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were reviewed (one care manager, one RN, two caregivers, and one kitchen hand).  All had relevant documentation relating to employment, and relevant checks were completed to validate individual qualifications and experience.  All had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Oxford Court has an orientation programme in place that provides new staff with relevant information for safe work practice.  There is an education plan that is being implemented that covers all contractual education topics and exceeds eight hours annually.  The care managers and registered nurses can attend external training including sessions provided by the local DHB.  A competency programme is in place that includes annual medication competency for staff administering medications.  There is a minimum of one staff member with a current first aid certificate on every shift.  A record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10 registered nurses (including the two clinical managers) and two enrolled nurses employed at Oxford Court.  Six registered nurses, one care manager, and one enrolled nurse are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facility manager reported staff are encouraged to complete New Zealand Qualification Authority (NZQA) through Careerforce.  There are currently.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caregivers with level 4, 13 caregivers with level 3, and ten care givers with level 2 NZQA.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total of 60 permanent staff and a pool of casual staff.  Sufficient staff are rostered on duty to manage the care requirements of the residents.  The general manager and care managers work full-time Monday to Friday.  The care managers share on call after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Reid wing, 36 beds - 34 residents (28 hospital level residents including the resident in LTS-CHC, and six rest home level).  A registered nurse is rostered on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Maher wing 36 beds – 32 residents (24 hospital and eight rest home).  A registered nurse is rostered on all shifts.  Enrolled nurses work four days on, two days off.  Enrolled nurses are rostered with registered nurses on the evening and night shifts.    </w:t>
            </w:r>
          </w:p>
          <w:p w:rsidR="00EB7645" w:rsidRPr="00BE00C7" w:rsidP="00BE00C7">
            <w:pPr>
              <w:pStyle w:val="OutcomeDescription"/>
              <w:spacing w:before="120" w:after="120"/>
              <w:rPr>
                <w:rFonts w:cs="Arial"/>
                <w:b w:val="0"/>
                <w:lang w:eastAsia="en-NZ"/>
              </w:rPr>
            </w:pPr>
            <w:r w:rsidRPr="00BE00C7">
              <w:rPr>
                <w:rFonts w:cs="Arial"/>
                <w:b w:val="0"/>
                <w:lang w:eastAsia="en-NZ"/>
              </w:rPr>
              <w:t>Each wing has six caregivers on the morning shift; 1x 6.45 am to 3 pm, 1x 7 am to 3 pm, 1x 7 am to 2.30 pm, 1x 7 am to 2 pm, 1x 7 am to 1.30 pm and 1x 8 am to 4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afternoon shift has five caregivers; 1x 2.30 pm to 11 pm, 1x 3 pm to 10.30 pm, 1x 3.30 am to 9.30 pm, and 2x 4 pm to 9.30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nightshift is covered by three caregivers a registered nurse and an enrolled nurse from 10.45 pm to 7 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appropriately stored in accordance with relevant guidelines and legislation.  Medication administration practice complies with the medication management policy for the medication rounds sighted.  The 12 medication charts sampled were documented correctly by medical practitioners and there was evidence of three-monthly reviews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prescribed was signed as administered on the electronic medication management system.  All staff that administer medication are competent and have received medication management training.  The facility uses a robotics pack medication management system for the packaging of all tablets.  The RN on duty reconciles the delivery and documents this.  There were two residents self-administering inhalers; medication competencies were sighted and have been reviewed.  Medication fridge and room temperatures were recorded and were within expected ranges.  The medication room in the ‘new build’ is fully functional and secure, and the medication trolley is lockable.  The previous shortfall from the partial provisional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external contractor providing the food services for Oxford Court.  The contractor has a Food Control plan expiring November 2021.  The external contractor conducts audits as part of their food safety programme.  Fridge and freezer temperatures are electronically monitored and recorded daily in the kitchen.  Food in the fridge and freezers was covered and dated.  Special or modified diets are catered for.  Soft and puree dietary needs are documented in files sampled.  This includes consideration of any particular dietary needs (including cultural needs).  A dietary assessment is made by the RN as part of the assessment process, and this includes likes and dislikes.  One copy is sent to the catering contractor, and one copy remains in the onsite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is plated in the kitchen and transported to each dining area via hot boxes.  The meals in the main dining room (adjacent to the kitchen) are served from the bain marie from the kitchen servery.  Kitchenhands record the temperature of hot and cold dishes prior to serving.  The kitchenhand interviewed was knowledgeable and could easily describe processes of heating meals and recording food temperatures in the electronic app.  Resident and families interviewed were complimentary of the food service.  There was evidence of residents receiving supplements.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or care manager initiates a review and if required, a GP or nurse specialist consultation.  There was documented evidence in the resident files of relatives’ notification of any changes to health including infections, accidents/incidents and medication changes.  Residents interviewed stated that their needs are being met.  Relatives interviewed stated that their relative’s needs are met, and they are kept informed of any health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dressing supplies.  On the day of the audit, there were six residents with superficial stage 2 pressure injuries, and one resident with an unstageable pressure injury on a heel.  A section 31 notification was sighted for this wound.  Incident reports were completed for all pressure injuries, and all wounds related to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rest home level residents with skin tears, and seven residents with wounds (including two residents with three wounds).  Wounds included chronic ulcers, skin tears and a blister, and a necrotic toe (illness related).  Electronic wound assessment, plans and evaluations were in place for current wounds, however one chart had more than one wound documented.  All short-term wounds were documented on a short-term care plan, long-term care plans contained interventions for the chronic wounds.  The registered nurses and care managers have access to the district health board (DHB) specialist wound care service.  The wound care specialist has been involved with residents with chronic ulcers and the unstageable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suite of monitoring charts on the electronic system including, (but not limited to), food and fluid charts, weight, observations, behaviour, and wound monitoring.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and an activities coordinator are both employed for 28 hours per week and between them cover Monday to Saturday 9.45 am to 5.00 pm.  The activities team provide a varied programme designed to meet the needs of the rest home and hospital residents.  Both the diversional therapist and the activities assistant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and/or relative completes a social profile to include all past interests and hobbies of residents.  Information gleaned from the social profile is included in the electronic social and recreational care plan.  A list of interests and hobbies of all residents is maintained, which provides ideas for the activity planner.  The activities team maintain at least three-monthly reviews, which evidenced a reflection of progression towards meeting or reviewing residents’ goals.  Each resident is free to choose whether they wish to participate in the group activities programme.  Daily participation records and progress notes are maintained.  Group activities are held in the large lounge on the ground floor, and include group games, entertainers and housie.  Celebrations and special days are celebrated.  The activities team is planning a beach day with a barbeque and beach/Hawaii theme.  The residents participate in crafts in line with the theme, residents have been making wreathes for head wear, and a decorated photo frame.  A gardening group has been developed.  Resident meetings are held regularly and provide an ‘open floor’ for feedback and suggestions for the programme and outing destinations.  Meeting minutes evidence a fairly high attendance rate.  Community activities include visits from the Blind Foundation and Age Concern.  An interdenominational church service is held monthly.  Entertainers are scheduled twice monthly.  Residents and relatives interviewed spoke positively about the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Covid-19 lockdown residents were encouraged to maintain contact with relatives via ‘WhatsApp’, phone calls and regular emails were sent to the relatives from the management team.  The activities continued as far as possible and included more one-on-one activities.  Individual packs were provided for residents to include puzzles and hand gel.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interRAI assessments, short-term care and long-term care plans were evaluated/reviewed in a comprehensive and timely manner.  Reviews were fully documented and included current resident’s status, any changes and achievements towards goals.  Family/whānau, residents and staff input is obtained in all aspects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needs care plans are developed for acute needs.  Social and recreational plans are reviewed as part of the residents’ care plan reviews.  The GP and nurse practitioner complete three-monthly medical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expired in September 2020.  Due to the Covid-19 lockdown, the essential checks could not be carried out, therefore a certificate 12s form is in place.  A letter from the Dunedin City Council explains the 12a form cannot be displayed, however, “understands that the systems within the building are fully operational”.  The letter goes on to explain that the contractor will continue to carry out inspections for the next 12 months, so a building warrant of fitness can be produced in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building was opened in December 2019.  The sluice room is fully functional.  Hot water temperatures are checked monthly with the rest of the facility.  The previous shortfalls at the partial provisional have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interviewed described the preventative and reactive maintenance schedules (sighted) and the random testing of the hot water temperatures.  The hot water temperatures were all within expected ranges.  Essential contractors are available after hours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areas around the facility are easy for residents to access using mobility aids.  Corridors are wide, ramps provide access to different levels of the ground floor, and there is lift access to the first floor.  Outdoor areas are well maintained and provide seating and shade.  New courtyard areas have been developed and are fully landscaped, complete with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reported they have sufficient equipment to carry out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management plan/manual in place.  Fire evacuation drills are held at least six-monthly.  The civil defence kit is readily accessible in designated storage cupboards.  The kit includes an up-to-date register of all residents’ details.  The facility is prepared for civil emergencies and has emergency lighting and BBQs.  An emergency food and water supply, sufficient for three days, is maintained.  Extra blankets are also available.  Hoists have battery packs and there are batteries that can be used to operate electric beds in the event of a power failure.  There is a list of names and contact details of staff so that they can easily be contacted in an emergency.  There is an approved fire evacuation scheme dated 20 June 2019.  Call bells are in place and the system has been activated.  The shortfall from the partial provisional audit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secured during the hours of darkness.  Staff are security conscious.  Appropriate training, information, and equipment for responding to emergencies is provided.  The call bell system is available in all areas and there are indicator panels in each area.  During the tour of the facility, residents were observed to have easy access to the call bells.  Residents were observed to have sensor mats in place.  Residents interviewed stated that their bells are answered promptly.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The registered nurse enters all infections on to the electronic system, which generates a monthly report.  Graphs are placed in the staffroom for staff to read.  Infection data, outcomes and corrective actions are discussed at the facility meetings.  If there is an emergent issue, it is acted upon in a timely manner.  Reports are easily accessible to the care managers and the general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there has been one outbreak in July 2019.  Logs were maintained, staff were kept informed, and the public health team were notified and kept informed.  </w:t>
            </w:r>
          </w:p>
          <w:p w:rsidR="00EB7645" w:rsidRPr="00BE00C7" w:rsidP="00BE00C7">
            <w:pPr>
              <w:pStyle w:val="OutcomeDescription"/>
              <w:spacing w:before="120" w:after="120"/>
              <w:rPr>
                <w:rFonts w:cs="Arial"/>
                <w:b w:val="0"/>
                <w:lang w:eastAsia="en-NZ"/>
              </w:rPr>
            </w:pPr>
            <w:r w:rsidRPr="00BE00C7">
              <w:rPr>
                <w:rFonts w:cs="Arial"/>
                <w:b w:val="0"/>
                <w:lang w:eastAsia="en-NZ"/>
              </w:rPr>
              <w:t>Covid-19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protocols, the infection control programme, and the pandemic plan have been updated to reflect Covid-19.  The registered nurses are aware of protocol at each stage of lockdown, resources are readily available.  Extra training was provided around personal protective equipment, isolation protocols and a questionnaire was answered by all staff around Covid-19.  Findings were discussed at staff meetings.  Staff were updated via the rostering system, and newsletters were provided for relatives updating them of the activities programme and new guidelines as they were available.  There were no recommendations following the DHB Covid-19 audit.  Adequate supplies of personal protective equipment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  The policy includes comprehensive restraint procedures and identifies that restraint be used as a last resort.  The service continues to be restraint free, and there were no residents using enablers.  An electronic register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(Reid care manager/ RN) confirmed the use of enablers/restraint is discussed at the monthly combined quality/health and safety/infection control meetings, and staff meetings.  Restraint use is included in orientation for clinical staff.  Challenging behaviour and restraint minimisation and safe practice education is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05"/>
        <w:gridCol w:w="1280"/>
        <w:gridCol w:w="7424"/>
        <w:gridCol w:w="1970"/>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and short-term care plans were in place to guide caregivers on acute needs of the residents.  These were sighted for infections, skin tears, and recently diagnosed pressure injuries, however, they did not always reflect all of the interventions for caregivers to follow.  All current wounds had a wound care assessment, plan and evaluation’ however these were not always documented correctly.  Monitoring charts were sighted for challenging behaviour, and intentional rounding; however, these were not in place for all acute needs of residents.  Photos are taken on a regular basis and scanned into the electronic system to identify progression or deterioration of the wound.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monitoring chart for a hospital resident with unintentional weight loss and another with a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ii)  There were no pressure relieving/prevention strategies documented on the care plan for a hospital resident with a current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iii) Three wounds were documented on the same chart for a hospital level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One wound was not classified correctly for a hospital level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monitoring charts are completed for residents with unintentional weight loss.</w:t>
            </w:r>
          </w:p>
          <w:p w:rsidR="00EB7645" w:rsidRPr="00BE00C7" w:rsidP="00BE00C7">
            <w:pPr>
              <w:pStyle w:val="OutcomeDescription"/>
              <w:spacing w:before="120" w:after="120"/>
              <w:rPr>
                <w:rFonts w:cs="Arial"/>
                <w:b w:val="0"/>
                <w:lang w:eastAsia="en-NZ"/>
              </w:rPr>
            </w:pPr>
            <w:r w:rsidRPr="00BE00C7">
              <w:rPr>
                <w:rFonts w:cs="Arial"/>
                <w:b w:val="0"/>
                <w:lang w:eastAsia="en-NZ"/>
              </w:rPr>
              <w:t>ii)  Ensure all pressure relieving strategies are included in the care plans for residents with current pressure injuries, and residents at risk of developing a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iii) Ensure all wounds have individual wound care assessments, plans and evaluations completed.</w:t>
            </w:r>
          </w:p>
          <w:p w:rsidR="00EB7645" w:rsidRPr="00BE00C7" w:rsidP="00BE00C7">
            <w:pPr>
              <w:pStyle w:val="OutcomeDescription"/>
              <w:spacing w:before="120" w:after="120"/>
              <w:rPr>
                <w:rFonts w:cs="Arial"/>
                <w:b w:val="0"/>
                <w:lang w:eastAsia="en-NZ"/>
              </w:rPr>
            </w:pPr>
            <w:r w:rsidRPr="00BE00C7">
              <w:rPr>
                <w:rFonts w:cs="Arial"/>
                <w:b w:val="0"/>
                <w:lang w:eastAsia="en-NZ"/>
              </w:rPr>
              <w:t>iv) Ensure all wounds are classified correctly.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Oxford Court Lifecare Limited - Oxford Court Lifecare</w:t>
    </w:r>
    <w:bookmarkEnd w:id="58"/>
    <w:r>
      <w:rPr>
        <w:rFonts w:cs="Arial"/>
        <w:sz w:val="16"/>
        <w:szCs w:val="20"/>
      </w:rPr>
      <w:tab/>
      <w:t xml:space="preserve">Date of Audit: </w:t>
    </w:r>
    <w:bookmarkStart w:id="59" w:name="AuditStartDate1"/>
    <w:r>
      <w:rPr>
        <w:rFonts w:cs="Arial"/>
        <w:sz w:val="16"/>
        <w:szCs w:val="20"/>
      </w:rPr>
      <w:t>28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