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Nurse Maude Association - Nurse Maude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Nurse Maude Association</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Nurse Maude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February 2021</w:t>
      </w:r>
      <w:bookmarkEnd w:id="7"/>
      <w:r w:rsidRPr="009418D4">
        <w:rPr>
          <w:rFonts w:cs="Arial"/>
        </w:rPr>
        <w:tab/>
        <w:t xml:space="preserve">End date: </w:t>
      </w:r>
      <w:bookmarkStart w:id="8" w:name="AuditEndDate"/>
      <w:r w:rsidR="00A4268A">
        <w:rPr>
          <w:rFonts w:cs="Arial"/>
        </w:rPr>
        <w:t>23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Nurse Maude Hospital provides rest home and hospital level care for up to 75 residents. The service is operated by Nurse Maude Association and managed by a service manager and a clinical nurse manager.  Residents and family/whānau spoke positively about the care provided.</w:t>
      </w:r>
    </w:p>
    <w:p w:rsidRPr="00A4268A">
      <w:pPr>
        <w:spacing w:before="240" w:line="276" w:lineRule="auto"/>
        <w:rPr>
          <w:rFonts w:eastAsia="Calibri"/>
        </w:rPr>
      </w:pPr>
      <w:r w:rsidRPr="00A4268A">
        <w:rPr>
          <w:rFonts w:eastAsia="Calibri"/>
        </w:rPr>
        <w:t xml:space="preserve">This surveillance audit was conducted against the Health and Disability Services Standards and the service’s contract with the district health board. The audit process included review of policies and procedures, review of residents’ and staff files, observations and interviews with residents, family/whānau, management, staff, and a general practitioner.  </w:t>
      </w:r>
    </w:p>
    <w:p w:rsidRPr="00A4268A">
      <w:pPr>
        <w:spacing w:before="240" w:line="276" w:lineRule="auto"/>
        <w:rPr>
          <w:rFonts w:eastAsia="Calibri"/>
        </w:rPr>
      </w:pPr>
      <w:r w:rsidRPr="00A4268A">
        <w:rPr>
          <w:rFonts w:eastAsia="Calibri"/>
        </w:rPr>
        <w:t>There were no areas identified 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Open communication between staff, residents and family/whānau is promoted, and confirmed to be effective. There is access to interpreting services if required.   </w:t>
      </w:r>
    </w:p>
    <w:p w:rsidRPr="00A4268A">
      <w:pPr>
        <w:spacing w:before="240" w:line="276" w:lineRule="auto"/>
        <w:rPr>
          <w:rFonts w:eastAsia="Calibri"/>
        </w:rPr>
      </w:pPr>
      <w:r w:rsidRPr="00A4268A">
        <w:rPr>
          <w:rFonts w:eastAsia="Calibri"/>
        </w:rPr>
        <w:t xml:space="preserve"> 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family/whānau.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was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were no restraints or enablers in use at the time of audit. Staff were aware that the use of enablers is voluntary for the safety of residents and in response to individual requests. Staff demonstrated a sound knowledge and understanding of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the Code of Health and Disability Services Consumers’ Rights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ten complaints have been received over the past year and that actions taken, through to an agreed resolution, are documented and completed within the timeframes.  Action plans showed any required follow up and improvements have been made where possible. The two most recent complaints have yet to be fully closed out. The clinical nurse specialist quality and risk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 Staff able to provide interpretation as and when needed and this has occurred in the past.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 annual and longer-term objectives and the associated operational plans. These were confirmed by the chief executive officer (CEO) during interview. A sample of monthly reports to the board of directors showed adequate information to monitor performance is reported including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service manager (SM) who holds relevant experience and a clinical nurse manager (CNM) who has relevant qualifications and is supported by the clinical nurse specialist quality and risk. Responsibilities and accountabilities are defined in a job description and individual employment agreement.  The CNM and SM confirmed knowledge of the sector, regulatory and reporting requirements and maintain currency through regional meetings and District Health Board (DHB) meetings and training sessions.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Ministry of Health (MOH) for long term chronic conditions (LTCC), Younger people with a disability (YPD) and the District Health Board (DHB) for hospital services, complex medical services, serious medical illness, geriatric services, rest home care and respite care. Five residents were receiving rest home care, including one respite resident; 50 residents were receiving hospital level care including two LTCC and one YPD; and five residents were under the serious medical illness contract. The facility also holds an Accident Compensation Corporation (ACC) contract which had no residents under this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bed status.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management / quality and staff meetings. Staff reported their involvement in quality and risk management activities through audit activities and staff meetings. Relevant corrective actions are developed and implemented to address any shortfalls. Resident and family/whanau satisfaction surveys are completed annually. The most recent survey showed dissatisfaction with some food service. The clinical nurse specialist quality and risk has implemented increased monitoring of the food service and developed a food specific questionnaire, as well as notifying the contracted provider to address the shortfalls.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appropriate assessment tools and processes.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specialist quality and risk and SM described the processes for the identification, monitoring, review and reporting of risks and development of mitigation strategies. The managers are familiar with the Health and Safety at Work Act (2015) and have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quality meeting and monthly to the board.</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specialist quality and risk described essential notification reporting requirements, including for pressure injuries. They advised there have been six notifications of significant events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and thereafter annually.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Twenty-five hospital aids (HA) have completed level 2 qualification, and nine have completed level 3. A further three are working toward level 2 and seven enrolled in level 3. There are no HA’s registered and waiting to commence.  A staff member is the internal assessor for the programme. All RN’s have either completed or are enrolled in the DHB professional development and recognition programme (PDRP).  Records reviewed demonstrated completion of the required in-service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patients.  An afterhours on call roster is in place, with staff reporting that good access to advice is available when needed.  Staff reported there were adequate staff available to complete the work allocated to them.  Residents and family/whānau interviewed supported this. Observations and review of a four-week roster cycle confirmed adequate staff cover has been provided, with staff replaced in any unplanned absence.  At least one staff member on duty has a current first aid certificate. Staffing of the hospital showed – on morning shift one RN and one enrolled nurse (EN), or two RN’s on each floor, six hospital aids (HAs) and one ward assistant on the ground floor and eight HAs and one physio assistant on the first floor. On afternoon shift there is one RN and one EN (or two RN’s) and six HA on each floor. On night there is one RN and one EN for both floors and two HCAs for each floor.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and undergo annual competency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and enters them into the system as a record of delivery. All medications sighted were within current use by dates. Clinical pharmacist input is available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within the electronic system were evident including the prescriber’s name and date recorded on the commencement and discontinuation of medicines and all requirements for pro re nata medicines documented. The medication management policy was current and identified all aspects of medicine management in line with the Medicines Care Guide for Residential Aged Care. Standing orders are no longer used.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an external contractor who employ two cooks and a kitchen team of six. The menu is in line with recognised nutritional guidelines for older people. The menu follows summer and winter patterns and has been reviewed by a qualified dietitian within the last two years (November 2020). There were no recommendations made at that time.</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Ministry of Primary Industries and is current until 7 April 2022. Food temperatures, including for high-risk items, are monitored appropriately and recorded as part of the plan. The unit manager (responsible for kitchen, laundry and cleaning) and cook have undertaken a safe food handling qualification, with kitchen assistants completing relevant food handling training through the external provider, which are repeated annually.</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Modified textured food is sourced from a recognised provider. The unit manager reviews an allergen declaration chart daily and ensures appropriate substitutes are provided, if required.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Meals are prepared in the kitchen and transported to the hospital via hot box where they are placed in preheated bain-maries and temperature taken before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through resident and family interviews. A group of residents who were interviewed felt that their concerns with the meals had been heard and were being addressed. The unit manager stated that any complaints are taken seriously, and the resident is visited by the kitchen manager. Residents were seen to be given sufficient time to eat their meal in an unhurried fashion and those requiring assistance had this provided in a respectful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and observations confirmed care provided to residents was consistent with their individual needs, goals and plan of care. Interviews with family members and residents confirmed they were satisfied with their care and had input into planning. The general practitioner confirmed that care was of a high standard, medical intervention was sought in a timely manner with medical orders being completed by staff. Care staff confirmed that care was provided as outlined in documentation and that they had opportunity for input. The physiotherapy assistant monitors the equipment and resources for the residents and that there is sufficient supply. Each room has an inbuilt ceiling hoist for ease of safely transferring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three activities coordinators who work together to provide an interesting and varied programme during the weekdays with staff using videos at the weekend and family visits. A lounge is able to be booked to provide space for family celebrations.</w:t>
            </w:r>
          </w:p>
          <w:p w:rsidR="00EB7645" w:rsidRPr="00BE00C7" w:rsidP="00BE00C7">
            <w:pPr>
              <w:pStyle w:val="OutcomeDescription"/>
              <w:spacing w:before="120" w:after="120"/>
              <w:rPr>
                <w:rFonts w:cs="Arial"/>
                <w:b w:val="0"/>
                <w:lang w:eastAsia="en-NZ"/>
              </w:rPr>
            </w:pPr>
            <w:r w:rsidRPr="00BE00C7">
              <w:rPr>
                <w:rFonts w:cs="Arial"/>
                <w:b w:val="0"/>
                <w:lang w:eastAsia="en-NZ"/>
              </w:rPr>
              <w:t>A social profile is undertaken on admission with the resident and family members to ascertain residents’ needs, interests, abilities and social requirements. Activities assessments are regularly reviewed to help formulate an activity programme that is meaningful to the residents. A range of activities including exercises, visiting speakers, community groups, church services and van outings using a hire company and driver to visit local places of interest. Volunteers are involved in one-to-one chats with residents and providing company for those residents who prefer to remain in their own rooms.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activity needs are evaluated in response to the activities and as part of the formal six monthly care plan review. Using the electronic system progress and satisfaction is documented in the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occur monthly and provide opportunity for input and evaluation of the programme. Meeting minutes showed response and follow through on some ideas.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they find the programme varied and interesting.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electronic files. If any change is noted, it is flagged and reported to the RN who follows this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care using an update function in the programme. Examples of short-term care plans being consistently reviewed and progress evaluated as clinically indicated were noted for infections and wounds. When necessary, and for unresolved problems, long term care plans are added to and updated.  Residents and families/whānau interviewed provided examples of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(expiry date 01 January 2022) is publicly displayed. The facility is clean and tidy and there is sufficient equipment to meet the needs of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criteria are based on accepted long-term care definitions, which are established and used to identify any facility acquired infections.  Overall, the hospital has low rates of infection, with extensive historical records available for comparison.  Reporting occurs via the electronic patient management system and the reporting capability enables identification of any trends. Both symptom and laboratory analysis contribute to identifying infections and best treatment options in this setting.  Treatment details are recorded in the electronic clinical record.  Collated reports can be generated for various infections types including urinary tract, skin and soft tissue, eye infections, respiratory tract, and gastrointestinal conditions. Treatment is a clinical decision by medical personnel, with monitoring of therapeutic and prophylactic antimicrobial usage also undertaken in the service. There have been no Covid-19 related infections reported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organisation wide, with results provided for individual services. Infection rates are benchmarked against the previous year’s data. Monthly surveillance data is collated, analysed, and graphed (per 1000 occupied bed days) and shared with staff. Results are presently reviewed and reported by the quality coordinator. A brief spike in urinary infections rates in 2020 has been reviewed in detail, with some additional education (toolbox sessions), inclusion and discussion at staff meetings and featured displays. Rates have subsequently dropped. The infection control report is received and discussed at the clinical governance group and variances discussed and acted upon when necessary.</w:t>
            </w:r>
          </w:p>
          <w:p w:rsidR="00EB7645" w:rsidRPr="00BE00C7" w:rsidP="00BE00C7">
            <w:pPr>
              <w:pStyle w:val="OutcomeDescription"/>
              <w:spacing w:before="120" w:after="120"/>
              <w:rPr>
                <w:rFonts w:cs="Arial"/>
                <w:b w:val="0"/>
                <w:lang w:eastAsia="en-NZ"/>
              </w:rPr>
            </w:pPr>
            <w:r w:rsidRPr="00BE00C7">
              <w:rPr>
                <w:rFonts w:cs="Arial"/>
                <w:b w:val="0"/>
                <w:lang w:eastAsia="en-NZ"/>
              </w:rPr>
              <w:t>An audit undertaken in 2020 considered the correct reporting of infections and to ensure that prescribing was in line with Canterbury District Health Board (CDHB) guidelines. Patients clinical and medication records were audited and reviewed, with prescribing noted to be in line with the CDHB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restraints or enablers in use on the day of audit. Policies and procedures are available to guide the process if required. Staff receive annual training (due March 2021) on the use of enablers and restraint minimisation. Staff interviewed were aware of the difference between enablers and restraints. Restraints were last used in January 2019.</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Nurse Maude Association - Nurse Maude Hospital</w:t>
    </w:r>
    <w:bookmarkEnd w:id="58"/>
    <w:r>
      <w:rPr>
        <w:rFonts w:cs="Arial"/>
        <w:sz w:val="16"/>
        <w:szCs w:val="20"/>
      </w:rPr>
      <w:tab/>
      <w:t xml:space="preserve">Date of Audit: </w:t>
    </w:r>
    <w:bookmarkStart w:id="59" w:name="AuditStartDate1"/>
    <w:r>
      <w:rPr>
        <w:rFonts w:cs="Arial"/>
        <w:sz w:val="16"/>
        <w:szCs w:val="20"/>
      </w:rPr>
      <w:t>23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