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Riverleigh Care Limited - Riverleigh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Riverleigh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Riverleigh Care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January 2021</w:t>
      </w:r>
      <w:bookmarkEnd w:id="7"/>
      <w:r w:rsidRPr="009418D4">
        <w:rPr>
          <w:rFonts w:cs="Arial"/>
        </w:rPr>
        <w:tab/>
        <w:t xml:space="preserve">End date: </w:t>
      </w:r>
      <w:bookmarkStart w:id="8" w:name="AuditEndDate"/>
      <w:r w:rsidR="00A4268A">
        <w:rPr>
          <w:rFonts w:cs="Arial"/>
        </w:rPr>
        <w:t>14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Riverleigh Care is privately owned.  The service provides hospital services (hospital and medical); rest home and residential disability services – physical level care for up to 66 residents.  On the day of audit there were 59 residents.  </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is a registered nurse with many years in health management.  She has been in the position for five years.  She is supported by a clinical coordinator and a team of registered nurses and caregivers.</w:t>
      </w:r>
    </w:p>
    <w:p w:rsidRPr="00A4268A">
      <w:pPr>
        <w:spacing w:before="240" w:line="276" w:lineRule="auto"/>
        <w:rPr>
          <w:rFonts w:eastAsia="Calibri"/>
        </w:rPr>
      </w:pPr>
      <w:r w:rsidRPr="00A4268A">
        <w:rPr>
          <w:rFonts w:eastAsia="Calibri"/>
        </w:rPr>
        <w:t xml:space="preserve">The service has a documented quality and risk management system.  Residents, families and the general practitioner interviewed commented positively on the standard of care and services provided at Riverleigh.  </w:t>
      </w:r>
    </w:p>
    <w:p w:rsidRPr="00A4268A">
      <w:pPr>
        <w:spacing w:before="240" w:line="276" w:lineRule="auto"/>
        <w:rPr>
          <w:rFonts w:eastAsia="Calibri"/>
        </w:rPr>
      </w:pPr>
      <w:r w:rsidRPr="00A4268A">
        <w:rPr>
          <w:rFonts w:eastAsia="Calibri"/>
        </w:rPr>
        <w:t>This audit has identified five areas requiring improvement around: internal audits, timeframes for assessments, care plan interventions, activities and evaluations of care.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and quality plan with goals for the service that have been regularly reviewed.  Riverleigh has a documented,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An admission package is available for prospective residents and their families prior to or on entry to the service.  Registered nurses are responsible for each stage of service provision, including assessment, planning and reviewing residents' needs, outcomes and goals.  Resident and/or family/whānau input is evident.  Care plans viewed in resident records demonstrated service integration.</w:t>
      </w:r>
    </w:p>
    <w:p w:rsidRPr="00A4268A" w:rsidP="00621629">
      <w:pPr>
        <w:spacing w:before="240" w:line="276" w:lineRule="auto"/>
        <w:rPr>
          <w:rFonts w:eastAsia="Calibri"/>
        </w:rPr>
      </w:pPr>
      <w:r w:rsidRPr="00A4268A">
        <w:rPr>
          <w:rFonts w:eastAsia="Calibri"/>
        </w:rPr>
        <w:t xml:space="preserve">The registered nurses and medication competent caregivers are responsible for administration of medicines and complete annual education and medication competencies.  Medication policies reflect legislative requirements and guidelines.  Medication charts sighted had been reviewed at least three-monthly by the general practitioner.     </w:t>
      </w:r>
    </w:p>
    <w:p w:rsidRPr="00A4268A" w:rsidP="00621629">
      <w:pPr>
        <w:spacing w:before="240" w:line="276" w:lineRule="auto"/>
        <w:rPr>
          <w:rFonts w:eastAsia="Calibri"/>
        </w:rPr>
      </w:pPr>
      <w:r w:rsidRPr="00A4268A">
        <w:rPr>
          <w:rFonts w:eastAsia="Calibri"/>
        </w:rPr>
        <w:t xml:space="preserve">A range of individual and group activities is available and coordinated by the diversional therapist.  </w:t>
      </w:r>
    </w:p>
    <w:p w:rsidRPr="00A4268A" w:rsidP="00621629">
      <w:pPr>
        <w:spacing w:before="240" w:line="276" w:lineRule="auto"/>
        <w:rPr>
          <w:rFonts w:eastAsia="Calibri"/>
        </w:rPr>
      </w:pPr>
      <w:r w:rsidRPr="00A4268A">
        <w:rPr>
          <w:rFonts w:eastAsia="Calibri"/>
        </w:rPr>
        <w:t xml:space="preserve">All meals are prepared on site.  There is a seasonal menu in place, which is reviewed by a dietitian.  Residents' food preferences are accommodated, and the residents and relatives reported satisfaction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that expires September 2021.  The maintenance person undertakes preventative and reactive maintenance.  </w:t>
      </w:r>
    </w:p>
    <w:p w:rsidRPr="00A4268A">
      <w:pPr>
        <w:spacing w:before="240" w:line="276" w:lineRule="auto"/>
        <w:rPr>
          <w:rFonts w:eastAsia="Calibri"/>
        </w:rPr>
      </w:pPr>
      <w:r w:rsidRPr="00A4268A">
        <w:rPr>
          <w:rFonts w:eastAsia="Calibri"/>
        </w:rPr>
        <w:t xml:space="preserve">Residents can freely mobilise within the communal areas with safe access to the outdoors, seating and shade.  Resident bedrooms are personalised.  Policies and procedures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and procedures on safe restraint use and enablers.  There was one resident voluntarily using an enabler and two residents with a restraint.  A registered nurse is the restraint coordinator.  Resident files included assessments, consents and care plans appropriate to the identified risk and care needed for enablers and restraint.  Evaluations and reviews assessing the continued need for restraint were documented.  Staff receive training around restraint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coordinator/registered nurse is responsible for coordinating education and training for staff.  The infection control coordinator has completed annual external training.  There is a suite of infection control policies and guidelines to support practice.  The infection control coordinator uses the information obtained through surveillance to determine infection control activities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4"/>
        <w:gridCol w:w="1280"/>
        <w:gridCol w:w="99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both verbal, email and written on the complaints form is maintained by the manager using an online complaints’ register.  There have been three complaints since the previous audit plus one staff complaint.  All complaints/concerns have been managed in line with Right 10 of the Code.  A review of complaints documentation evidenced resolution of the complaint, to the satisfaction of the complainant and all complaints have been discussed in weekly head of department and monthly staff and RN meetings.  The staff complaint was investigated through an HR process and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hospital level (including one funded through the Long-Term Support Chronic Health Conditions [LTS-CHC] contract and one respite), three rest home level residents (including one younger person disabled) and family members advised that they are aware of the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through the advocacy network via the Health and Disability Commissioner has been responded to by the service and is currently with the Health and Disability Commissioner.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facility manager confirmed family are kept informed.  Relatives (three hospital and one rest home) stated they are notified promptly of any incidents/accidents.  Residents/relatives have the opportunity to feedback on service delivery through annual surveys and open-door communication with management.  Monthly resident meetings encourage open discussion around the services provided.  Accident/incident forms reviewed evidenced relatives are informed of any incidents/accidents.  Relatives interviewed stated they are notified promptly of any changes to residents’ health status. Residents interviewed (three hospital and three rest home including a younger person) stated they were happy with the open communication.</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Riverleigh Care is privately owned.  The service provides; hospital (geriatric and medical) medical, rest home care and residential disability services – physical level care for up 66 residents.  All beds are dual-purpose.  On the day of audit there were 59 residents; 22 rest home residents, including one respite, and one younger person funded through the younger person with a disability contract (YPD).  There were also 37 hospital residents including three funded through the YPD contract, three respite, and one funded through the Long-Term Support Chronic Health Conditions (LTS-CHC) contract.  All other residents were under the age-related residential care services agreement (ARCC).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and suitably qualified manager who is a registered nurse (RN) who has been in this position for five years.  The manager is supported by a clinical coordinator (who was on leave at the time of audit).  The clinical coordinator is responsible for oversight of the clinical service in the facility.  The manager and owner are in regular contact.  The manager reported that the owner is supportive.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strategic plan, and quality plan and goals have been reviewed regularly to measure achievements and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maintains an annual practicing certificate and has maintained at least eight hours annually of professional development that is related to managing a rest home and hospital including attending DHB forums and steering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Riverleigh has a documented quality and risk programme, purchased from a quality consultant.  The new system allows all data to be entered online for monitoring and tracking.  There is also a previous online quality system.  The service is transitioning between the two.  There are policies and procedures implemented to provide assurance that the service is meeting accepted good practice and adhering to relevant standards - including those standards relating to the Health and Disability Services (Safety) Act 2001.  Staff (four caregivers, two registered nurses and one cook)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continued to implement regular meetings including: weekly heads of departments meetings and monthly staff and RN meetings.  Since the previous audit the service has implemented monthly clinical review meetings with the DHB clinical specialists (mental health for older persons and gerontology).</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evidenced discussion around quality data including (but not limited to) complaints, compliments, health and safety, accident/incident, infection control, internal audits and survey results.  Trends are identified and analysed for areas of improvement.  Meeting minutes document in-depth discussion and ad hoc training linked to audits, incidents, restraint and infection control each month.  Individual resident needs are discussed at meetings where issues have been raised.  Caregivers confirmed on interview they were kept informed on quality data including corrective actions and quality initiatives.</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reviewed were not all completed as scheduled.  Corrective action plans were completed for any corrective actions required for the audits undertaken.  The manager signs off completed corrective actions.  Internal audits are discussed along with corrective actions as needed during staff and RN meetings.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coordinator who has completed health and safety training.  The health and safety committee, as part of the staff meeting, review monthly accident/incident reports and review the hazard reports and register.  Falls prevention strategies are in place that include the analysis of falls and the identification of interventions on a case-by-case basis to minimise future falls.  Health and safety information is displayed on the staff noticeboard.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risk management and the health and safety framework, there is an accident/incident policy.  The service collects incident and accident data monthly and provides reports to all facility meetings.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forms were reviewed from November 2020.  All incident forms identified timely RN assessment of the resident and corrective actions or recommendations that had been completed and signed off by the manager.  Neurological observations have been completed for unwitnessed falls and any known head injury as well as follow-up to ensure safety.  The caregivers interviewed could discuss the incident reporting process, they also described the discussion of incidents at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The manager could describe situations that would require reporting to relevant authorities.  No reporting has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 practising certificates and allied health professionals is current.  Five staff files were reviewed: (two RNs, one cook and two caregivers).  All files contained relevant employment documentation including current performance appraisals and completed orientations.  The orientation programme provides new staff with relevant information for safe work practice.  Care staff interviewed were able to describe the orientation process and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have access to external training that includes clinical education relevant to medical conditions as well as monthly case reviews (the clinical review meeting).  The in-service education delivered by internal and external educators was interrupted during Covid-19 lockdown, however the service has caught up recently, ensuing all education for 2020 has been provided.  During Covid-19 lockdown the service provided daily updates and training to ensure safe infection control including PPE, donning and doffing, and Covid-19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 hoc training has been delivered though staff meetings related to new policies and issues raised each month though audits and incidents.  Nine of ten RNs including the clinical coordinator are interRAI competent.  Staff complete competencies relevant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Training has included reference to younger people and has included privacy abuse and neglect,  as well as the monthly case reviews with the DHB addressing issues raised  and specific care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that determines staffing levels and skill mixes for safe service delivery.  A roster provides sufficient and appropriate coverage for the effective delivery of care and support.  The manager (RN) and clinical coordinator (RN) are on duty during the day Monday to Friday.  Both share the on-call requirement for clinical and non-clinical concerns.  There are two RNs on the AM and the PM shift (one long shift and one short shift) and one RN at night.</w:t>
            </w:r>
          </w:p>
          <w:p w:rsidR="00EB7645" w:rsidRPr="00BE00C7" w:rsidP="00BE00C7">
            <w:pPr>
              <w:pStyle w:val="OutcomeDescription"/>
              <w:spacing w:before="120" w:after="120"/>
              <w:rPr>
                <w:rFonts w:cs="Arial"/>
                <w:b w:val="0"/>
                <w:lang w:eastAsia="en-NZ"/>
              </w:rPr>
            </w:pPr>
            <w:r w:rsidRPr="00BE00C7">
              <w:rPr>
                <w:rFonts w:cs="Arial"/>
                <w:b w:val="0"/>
                <w:lang w:eastAsia="en-NZ"/>
              </w:rPr>
              <w:t>There are four caregivers on the AM and four on the PM shift (two long and two short shifts) and two caregivers on the night shift.  Caregivers interviewed were happy with staffing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are adequate staff on duty at all times.  Staff stated they feel supported by the clinical coordinator and manager who respond quickly to afterhours calls.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and cleaning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for safe medicine management that meet legislative requirements and guidelines.  Registered nurses and, at times, a medication competent carer administer medications.  They are assessed for competency on an annual basis and attend annual medication education.  All medication is checked on delivery against the medication chart.  Medications are stored safely.  The medication fridge and room are maintained within the acceptable temperature range.  All eye drops, and ointments were dated on opening.  There was one resident self-administering medication on the day of audit.  The resident had a locked drawer in their room and assessments and three-monthly reviews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reviewed met legislative requirements.  Medications had been signed as administered in line with prescription charts.  Appropriate practice was demonstrated on the witnessed medication round.  There was evidence of regular audits undertaken to ensure that registered nurses document the effectiveness of ‘as needed’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Riverleigh Care.  The Food Control Plan expires October 2021.  The chef is responsible for the operations of food services.  The kitchen team includes a relief cook and four kitchenhands.  All kitchen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weekly rotating summer and winter menu that has been approved by a dietitian.  A food services policies and procedures manual is in place.  All food is served directly from the kitchen to residents in the dining room or to their rooms as required.  A tray service is available if required by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their dietary requirements/food and fluid preferences recorded on admission and updated as required.  The cook maintains a folder of resident’s dietary requirements that include likes/dislikes.  Alternative choices are offered.  The cook is informed of dietary changes and any residents with weight loss.  Dietary needs are met including normal, pureed meals and finger foods.  Specialised utensils and lip plates are available as required.  The chef caters for dietary preferences including catering for a resident who likes curries.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attends resident meetings, and at the meetings residents express their feedback on meals and food services.  Residents and relatives interviewed confirmed likes/dislikes are accommodated and alternative choices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fridges and freezer temperatures are recorded daily on the recording sheet sighted.  Daily hot food temperatures are taken and recorded for each meal.  Holding temperatures are taken.  Fridge and freezer temperatures are recorded.  Dry foods in the pantry are dated and sealed.  Perishable foods in the chiller and refrigerators are date labelled and stored correctly.  The kitchen has a dishwashing area, preparation, cooking, baking and storage areas.  </w:t>
            </w:r>
          </w:p>
          <w:p w:rsidR="00EB7645" w:rsidRPr="00BE00C7" w:rsidP="00BE00C7">
            <w:pPr>
              <w:pStyle w:val="OutcomeDescription"/>
              <w:spacing w:before="120" w:after="120"/>
              <w:rPr>
                <w:rFonts w:cs="Arial"/>
                <w:b w:val="0"/>
                <w:lang w:eastAsia="en-NZ"/>
              </w:rPr>
            </w:pPr>
            <w:r w:rsidRPr="00BE00C7">
              <w:rPr>
                <w:rFonts w:cs="Arial"/>
                <w:b w:val="0"/>
                <w:lang w:eastAsia="en-NZ"/>
              </w:rPr>
              <w:t>The chemicals are stored safely.  Safety data sheets are available, and training provided as required.  Personal protective equipment is readily available, and staff were observed to be wearing hats, aprons and gloves.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resident files documented a care plan; however, not all care interventions were fully documented and not all care interventions such as pain management were evidenced to be implemented.  If a resident's condition alters, a registered nurse initiates a review and if required contacts a general practitioner or nurse specialist.  Files reviewed demonstrated that families are notified of any changes to their relative’s health.  This was confirmed in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residents with wounds. </w:t>
            </w:r>
          </w:p>
          <w:p w:rsidR="00EB7645" w:rsidRPr="00BE00C7" w:rsidP="00BE00C7">
            <w:pPr>
              <w:pStyle w:val="OutcomeDescription"/>
              <w:spacing w:before="120" w:after="120"/>
              <w:rPr>
                <w:rFonts w:cs="Arial"/>
                <w:b w:val="0"/>
                <w:lang w:eastAsia="en-NZ"/>
              </w:rPr>
            </w:pPr>
            <w:r w:rsidRPr="00BE00C7">
              <w:rPr>
                <w:rFonts w:cs="Arial"/>
                <w:b w:val="0"/>
                <w:lang w:eastAsia="en-NZ"/>
              </w:rPr>
              <w:t>Six wounds were documented on the wound log.  The wound included three pressure injuries; two facility acquired (both stage two) and one non-facility acquired (stage one).  Other wounds included two ulcers and one skin tear.</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There is access to a continence nurse specialist by referral.  Residents are weighed monthly or more frequently if weight is of concern.  Monitoring forms are documented and completed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and activities officer who provides activities Monday to Friday.  The activities coordinator was away on the days of audit but has been in the role since the previous audit.  During weekends caregivers provide some activities and once a month, a non-denominational church service is held on a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news and views, skittles, indoor walking, board games, cards, puzzles, housie and happy hour.  Entertainers are invited to the facility twice a month.  A pre-school regularly visits.  The activity plan includes a visit by the Mr Whippy van, and there are plans to involve canine friends.  There are budgies and a rabbit at the facility.  Regular outings into the community occur, a taxi van is used, and the driver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One-on-one activities occur for residents who choose not to be involved in group activities.  Themes and events are celebrated.  The needs of younger residents were not well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Individual activity plans were seen in long-term resident files.  The service receives feedback and suggestions for the programme through monthly resident meetings and direct feedback from residents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were evaluated by a registered nurse within three weeks of admission and long-term care plans developed.  Not all the files reviewed evidenced that long-term care plans had a documented evaluation by a registered nurse six-monthly.  However, care plans have been updated six-monthly.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September 2021.  The maintenance person undertakes preventative and reactive maintenance.  The annual maintenance plan includes monthly checks for hot water temperatures, call bells, resident equipment and safety checks.  Daily maintenance requests are addressed.  Electrical equipment has been tested and tagged.  Clinical equipment has been calibrated and/or serviced.  Contractors are available after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on two levels.  There are 33 resident rooms upstairs and 25 rooms downstairs.  There are eight double rooms in all over the two floors. Privacy curtains are in place for all double rooms. There is a lift between floors.  The lift has a lift inspection undertaken monthly.  The facility has wide corridors with space for residents to safely mobilise using mobility aids.  There is safe access to the outdoor areas.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Definitions of infections are in place appropriate to the complexity of service provided.  Infection control data is discussed at both the staff and RN meetings.  Trends are identified, and preventative measures put in place.  Internal audits for infection control are included in the annual audit schedule (link 1.2.3.7).  There is close liaison with the GP who advises and provides feedback/information to the service.  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The service closed during the Covid-19 lockdown.  The service provided education for staff around PPE, infection control and handwashing.  Meeting minutes document reminders and updates for staff.  There are outbreak boxes and posters in preparation for any further pandemic related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On the day of the audit, there was one resident with an enabler and two residents with a restraint.  All enablers and the restraint were bed rails.  Two resident files reviewed; one for restraint and one for enabler use, both documented an assessment, consent and regular reviews.  Restraint and challenging behaviour education are included in the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0"/>
        <w:gridCol w:w="1280"/>
        <w:gridCol w:w="4844"/>
        <w:gridCol w:w="3091"/>
        <w:gridCol w:w="19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well-documented quality and risk programme.  The programme includes online processes to track and monitor quality data, this includes an internal audit schedule.  However, some of the quality processes are still using an older process and some the new quality system.  This has resulted in not all internal audits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internal audits have been undertaken as per schedule and/or have not been fully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internal audits are undertaken as per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included an up-to-date care plan.  However, the assessment process and timeframes were not always completed according to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Timeframes for routine interRAI assessments were not within timeframes for one rest home and one hospital level resident under the ARRC contract.</w:t>
            </w:r>
          </w:p>
          <w:p w:rsidR="00EB7645" w:rsidRPr="00BE00C7" w:rsidP="00BE00C7">
            <w:pPr>
              <w:pStyle w:val="OutcomeDescription"/>
              <w:spacing w:before="120" w:after="120"/>
              <w:rPr>
                <w:rFonts w:cs="Arial"/>
                <w:b w:val="0"/>
                <w:lang w:eastAsia="en-NZ"/>
              </w:rPr>
            </w:pPr>
            <w:r w:rsidRPr="00BE00C7">
              <w:rPr>
                <w:rFonts w:cs="Arial"/>
                <w:b w:val="0"/>
                <w:lang w:eastAsia="en-NZ"/>
              </w:rPr>
              <w:t>(ii) One YPD (rest home level) and one LTS-CHC (hospital level) had no formal assessments on their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interRAI assessments are documented within timeframes.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there is a documented assessment process for those residents who are not assessed using the interRAI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included a care plan.  However, not all care plan interventions were fully documented and not all care interventions were evidenced to be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Recognition and treatment of seizures was not documented in one rest home and one hospital level residents’ file.</w:t>
            </w:r>
          </w:p>
          <w:p w:rsidR="00EB7645" w:rsidRPr="00BE00C7" w:rsidP="00BE00C7">
            <w:pPr>
              <w:pStyle w:val="OutcomeDescription"/>
              <w:spacing w:before="120" w:after="120"/>
              <w:rPr>
                <w:rFonts w:cs="Arial"/>
                <w:b w:val="0"/>
                <w:lang w:eastAsia="en-NZ"/>
              </w:rPr>
            </w:pPr>
            <w:r w:rsidRPr="00BE00C7">
              <w:rPr>
                <w:rFonts w:cs="Arial"/>
                <w:b w:val="0"/>
                <w:lang w:eastAsia="en-NZ"/>
              </w:rPr>
              <w:t>(ii)  Management and interventions for pain control was not documented or implemented in one rest home level resident’s file.</w:t>
            </w:r>
          </w:p>
          <w:p w:rsidR="00EB7645" w:rsidRPr="00BE00C7" w:rsidP="00BE00C7">
            <w:pPr>
              <w:pStyle w:val="OutcomeDescription"/>
              <w:spacing w:before="120" w:after="120"/>
              <w:rPr>
                <w:rFonts w:cs="Arial"/>
                <w:b w:val="0"/>
                <w:lang w:eastAsia="en-NZ"/>
              </w:rPr>
            </w:pPr>
            <w:r w:rsidRPr="00BE00C7">
              <w:rPr>
                <w:rFonts w:cs="Arial"/>
                <w:b w:val="0"/>
                <w:lang w:eastAsia="en-NZ"/>
              </w:rPr>
              <w:t>(iii) The wound care specialist has not documented the wound review or advice given to staff.</w:t>
            </w:r>
          </w:p>
          <w:p w:rsidR="00EB7645" w:rsidRPr="00BE00C7" w:rsidP="00BE00C7">
            <w:pPr>
              <w:pStyle w:val="OutcomeDescription"/>
              <w:spacing w:before="120" w:after="120"/>
              <w:rPr>
                <w:rFonts w:cs="Arial"/>
                <w:b w:val="0"/>
                <w:lang w:eastAsia="en-NZ"/>
              </w:rPr>
            </w:pPr>
            <w:r w:rsidRPr="00BE00C7">
              <w:rPr>
                <w:rFonts w:cs="Arial"/>
                <w:b w:val="0"/>
                <w:lang w:eastAsia="en-NZ"/>
              </w:rPr>
              <w:t>(iv) A hospital level long-term respite resident did not have; monthly blood sugar levels and catheter bag care, in their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recognition and treatment of seizures is documented in residents’ care plans for residents with known seizure activity.</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management and interventions for pain control are documented and implemented for residents with known pain.</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the wound care specialist documents the wound review and advice given to staff.</w:t>
            </w:r>
          </w:p>
          <w:p w:rsidR="00EB7645" w:rsidRPr="00BE00C7" w:rsidP="00BE00C7">
            <w:pPr>
              <w:pStyle w:val="OutcomeDescription"/>
              <w:spacing w:before="120" w:after="120"/>
              <w:rPr>
                <w:rFonts w:cs="Arial"/>
                <w:b w:val="0"/>
                <w:lang w:eastAsia="en-NZ"/>
              </w:rPr>
            </w:pPr>
            <w:r w:rsidRPr="00BE00C7">
              <w:rPr>
                <w:rFonts w:cs="Arial"/>
                <w:b w:val="0"/>
                <w:lang w:eastAsia="en-NZ"/>
              </w:rPr>
              <w:t>(iv) Ensure that all interventions are documented in the resident’s care plans including: blood sugar levels and catheter bag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monthly and include a wide range of activities for the residents.  Each resident also has an individual activity plan documented, following an individual assessment.  The individual plans did not reflect the interests of the two younger person files reviewed and the overall facility activity plan did not provide for the younger age group.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activity plans for two younger residents did not reflect the needs of the age group or their assessment.  The overall activity plan for the service did not provide for the activity need for the younger resident group.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activities for the younger residents’ which reflect their needs and community links.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resident file reviewed documented a care plan, there was evidence that care plans had been updated with changes and care plans were updated six-monthly.  However, a formal evaluation of care was not documented for the four long-term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hospital level and two rest home level resident files did not have a formal evaluation of care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six monthly evaluations of care are documented and include progress towards stated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Riverleigh Care Limited - Riverleigh Residential Care</w:t>
    </w:r>
    <w:bookmarkEnd w:id="58"/>
    <w:r>
      <w:rPr>
        <w:rFonts w:cs="Arial"/>
        <w:sz w:val="16"/>
        <w:szCs w:val="20"/>
      </w:rPr>
      <w:tab/>
      <w:t xml:space="preserve">Date of Audit: </w:t>
    </w:r>
    <w:bookmarkStart w:id="59" w:name="AuditStartDate1"/>
    <w:r>
      <w:rPr>
        <w:rFonts w:cs="Arial"/>
        <w:sz w:val="16"/>
        <w:szCs w:val="20"/>
      </w:rPr>
      <w:t>13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