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Tony And Cora Noblejas Limited - Christina's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Tony and Cora Noblejas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Christina's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2021</w:t>
      </w:r>
      <w:bookmarkEnd w:id="7"/>
      <w:r w:rsidRPr="009418D4">
        <w:rPr>
          <w:rFonts w:cs="Arial"/>
        </w:rPr>
        <w:tab/>
        <w:t xml:space="preserve">End date: </w:t>
      </w:r>
      <w:bookmarkStart w:id="8" w:name="AuditEndDate"/>
      <w:r w:rsidR="00A4268A">
        <w:rPr>
          <w:rFonts w:cs="Arial"/>
        </w:rPr>
        <w:t>9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Christina’s Rest Home provides rest home care for up to 21 residents. The service was purchased in 1987 and is operated by Tony and Cora Noblejas (2000) Limited and managed by the owner/manager who is a registered nurse. Residents and the general practitioner interviewed spoke positively about the care provided.</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staff, contracted allied health providers, and a general practitioner. No family members were able to be interviewed as a minimal number of residents were in contact with family members.</w:t>
      </w:r>
    </w:p>
    <w:p w:rsidRPr="00A4268A">
      <w:pPr>
        <w:spacing w:before="240" w:line="276" w:lineRule="auto"/>
        <w:rPr>
          <w:rFonts w:eastAsia="Calibri"/>
        </w:rPr>
      </w:pPr>
      <w:r w:rsidRPr="00A4268A">
        <w:rPr>
          <w:rFonts w:eastAsia="Calibri"/>
        </w:rPr>
        <w:t>This audit has resulted in no areas identified as requiring improvement and there were no areas to follow-up from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is encouraged between staff, resident and families and is promoted and confirmed to be effective. There is access to interpreting and translation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 No external complaints have been received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 Access to the facility is appropriate and efficiently managed with relevant information provided to the potential resident/family. </w:t>
      </w:r>
    </w:p>
    <w:p w:rsidRPr="00A4268A" w:rsidP="00621629">
      <w:pPr>
        <w:spacing w:before="240" w:line="276" w:lineRule="auto"/>
        <w:rPr>
          <w:rFonts w:eastAsia="Calibri"/>
        </w:rPr>
      </w:pP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current building warrant of fitness is displayed in the reception area to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No enablers and no restraints were in use at the time of the audit. Use of enables is voluntary for the safety of residents in response to individual requests. Staff interviewed were all experienced care givers who had a sound knowledge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of Health and Disability Services Consumers’ Rights (the Code).  Information on the complaint process is provided to residents and families on admission and those residents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nine verbal complaints (seven complaints from one resident) have been received over the past year and that actions taken, through to an agreed resolution, are documented and completed within the timeframes.  No written complaints have been received since 2012. Action plans showed any required follow up and improvements have been made where possible.  The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they were kept well informed about any changes to their health status, were advised in a timely manner about any incidents or accidents and outcomes of regular and any urgent medical reviews. This was evident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staff being able to provide interpretation as and when needed. Interpreters and translation services can also be accessed through the district health board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specific plans, aims and ambitions for the year 2020 were sighted. The business plan is currently being reviewed in alignment with the annual ‘quality and stats’ report for 2020. The business plan for 2021 to 2022 is to be implemented March 2021. The plan outlines the purpose, values, scope, direction and aims of the organisation. The documents described annual and longer-term objectives and the associated operational plans. </w:t>
            </w:r>
          </w:p>
          <w:p w:rsidR="00EB7645" w:rsidRPr="00BE00C7" w:rsidP="00BE00C7">
            <w:pPr>
              <w:pStyle w:val="OutcomeDescription"/>
              <w:spacing w:before="120" w:after="120"/>
              <w:rPr>
                <w:rFonts w:cs="Arial"/>
                <w:b w:val="0"/>
                <w:lang w:eastAsia="en-NZ"/>
              </w:rPr>
            </w:pPr>
            <w:r w:rsidRPr="00BE00C7">
              <w:rPr>
                <w:rFonts w:cs="Arial"/>
                <w:b w:val="0"/>
                <w:lang w:eastAsia="en-NZ"/>
              </w:rPr>
              <w:t>A sample of two monthly reports to the directors and staff showed adequate information to monitor performance is reported including financial performance, emerging risks and any issues. The plan also covers ongoing maintenance building and grounds, new linen purchases, activities, purchasing pressure mattresses and work required externally to the facility for ongoing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that related information is reported and discussed at the two monthly quality and staff meetings. Residents meetings are also held two monthly. Staff reported involvement in quality and risk activities through participation in audit activities. Relevant corrective actions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respite, POAC and YPD. On the day of audit 17 residents including one respite care resident were receiving rest home level care. The one resident under YPD contract is now 74 years of age and the contract is still being renewed annually. No residents are currently under the POAC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falls and behavioural episodes.  The manager is one of two owner/directors who reports directly and works collaboratively with the other director.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staff meetings held two monthly. The annual report on incidents and accidents over 2020 was available and reviewed. Staff reported their involvement in quality and risk management activities through participating in audit activities. Relevant corrective actions are developed and implemented to address any shortfalls. Satisfaction surveys are completed but can be difficult to manage due to the nature of the service with a high level of residents who are unable to provide feedback in written form and have minimal family contact. All but one resident is from the Pacific Islands. Resident meetings are held two monthly, and this is a forum for residents to express any concerns or issues. The manager and staff ensure all residents’ needs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A contracted quality consultant provides input into the development and implementation of all new policies and procedures for Christina’s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The incident register is maintained, and all incidents were recorded. Any unwitnessed falls or incidents are monitored and neurological observations are performed by the staff and the records are kept in the individual resident’s record. The resident care plans are updated. Adverse event data is collated, analysed and reported to the manager. Incidents reviewed showed family were notified and improvements were made where possible.  After a full investigation following one resident’s fall,  a quality initiative and update of the care plan reflected that the resident was kept informed and reminded of the importance of using the walking frame appropriately and turning the light on when awake, prior to getting out of bed to the bathroom. In addition to this, staff training was provided on checking residents regularly especially at night, dementia care and use of mobility aids.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notifications of significant events were made to the Ministry of Health or other agencies, or deaths reported to the Coroner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A core of care staff have worked at the facility for twenty years or more. Job descriptions were reviewed for each designation. Five care staff work dual roles. Staff complete all domestic work such as cleaning, laundry and kitchen at designated times of the day. All staff have received full training for their additional roles.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 orientation process prepared them well for their role.  Staff records reviewed showed documentation of completed orientation. A performance appraisal is completed annually for all staff by the manager.  The manager works full time Monday to Friday and is on 24-hour call after-hours. There is one casual registered nurse (RN) to cover any leave the manager may require. The manager stated that no bureau staff are employed and this was evident on the rosters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annually including mandatory training requirements. Each month a training session is provided. Care staff have either completed or commenced a New Zealand Qualification Authority (NZQA) education programme to meet the requirements of the provider’s agreement with the DHB. All care staff are experienced in aged care and are at level 3 and level 4 on the NZQA framework. The manager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manager completes all interRAI assessments and is maintaining the annual competency requirements to undertake interRAI assessments. Records reviewed demonstrated completion of the required training and completion of annual performance appraisals. All staff have completed first aid training as verified in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Staff reported that good access to advice is available when needed as the manager is on-call after-hours twenty-four hours a day, seven days a week 24/7. Care staff reported there were adequate staff available to complete the work allocated to them.  Residents interviewed supported this. 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paper based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up with appropriate corrective actions,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Facilities are available to store controlled drugs securely in accordance with requirements and checked by two staff for accuracy when administering. The controlled drug register provided evidence of weekly and six-monthly stock checks and accurate entries. As per the controlled drug register, no controlled drugs have been used or stored in the facility since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Staff interviewed understood the appropriate processes to ensure this was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the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Asure Quality Kaitiaki which is valid until October 2021.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residents, staff and GP interviewed verified that medical input is sought in a timely manner and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A range of activities are provided as per the weekly activities calendar. Regular resident outings and active involvement in activities happening in the community are part of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residents’ meetings. Residents interviewed confirmed that they enjoy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communicated to the registered nurse or medical practitioner as required.</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and updated.  Residents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had a current Building Warrant of Fitness (BWOF) which was displayed at reception. The expiry date is 16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ear, chest, eye and other infections. The infection prevention and control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directors.  Monthly data shows that the infections rates were very low.</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was sighted and staff interviewed were aware of the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Christina’s Rest Home has implemented policies and procedures that support the minimisation of restraint. No enablers or restraint were in use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Use of enablers is voluntary for the safety of residents in response to individual requests. Staff interviewed clearly understood the difference between enablers and a restraint and understood the processes should either of these be required by a resident. </w:t>
            </w:r>
          </w:p>
          <w:p w:rsidR="00EB7645" w:rsidRPr="00BE00C7" w:rsidP="00BE00C7">
            <w:pPr>
              <w:pStyle w:val="OutcomeDescription"/>
              <w:spacing w:before="120" w:after="120"/>
              <w:rPr>
                <w:rFonts w:cs="Arial"/>
                <w:b w:val="0"/>
                <w:lang w:eastAsia="en-NZ"/>
              </w:rPr>
            </w:pPr>
            <w:r w:rsidRPr="00BE00C7">
              <w:rPr>
                <w:rFonts w:cs="Arial"/>
                <w:b w:val="0"/>
                <w:lang w:eastAsia="en-NZ"/>
              </w:rPr>
              <w:t>De-escalation training is provided due to the nature of this service provision.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Tony And Cora Noblejas Limited - Christina's Rest Home</w:t>
    </w:r>
    <w:bookmarkEnd w:id="58"/>
    <w:r>
      <w:rPr>
        <w:rFonts w:cs="Arial"/>
        <w:sz w:val="16"/>
        <w:szCs w:val="20"/>
      </w:rPr>
      <w:tab/>
      <w:t xml:space="preserve">Date of Audit: </w:t>
    </w:r>
    <w:bookmarkStart w:id="59" w:name="AuditStartDate1"/>
    <w:r>
      <w:rPr>
        <w:rFonts w:cs="Arial"/>
        <w:sz w:val="16"/>
        <w:szCs w:val="20"/>
      </w:rPr>
      <w:t>9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