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Vines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Vines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December 2020</w:t>
      </w:r>
      <w:bookmarkEnd w:id="7"/>
      <w:r w:rsidRPr="009418D4">
        <w:rPr>
          <w:rFonts w:cs="Arial"/>
        </w:rPr>
        <w:tab/>
        <w:t xml:space="preserve">End date: </w:t>
      </w:r>
      <w:bookmarkStart w:id="8" w:name="AuditEndDate"/>
      <w:r w:rsidR="00A4268A">
        <w:rPr>
          <w:rFonts w:cs="Arial"/>
        </w:rPr>
        <w:t>17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Vines provides care to 43 residents at hospital and rest home level care.  On the day of the audit there were 41 residents in total.</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is managed by a village manager who has been in the role for five years.  The village manager is supported by a care centre manager who has been in the position for five months.  The care centre manager is supported by the clinical nurse lead.  Management are supported by a regional operations manager and regional quality manager. </w:t>
      </w:r>
    </w:p>
    <w:p w:rsidRPr="00A4268A">
      <w:pPr>
        <w:spacing w:before="240" w:line="276" w:lineRule="auto"/>
        <w:rPr>
          <w:rFonts w:eastAsia="Calibri"/>
        </w:rPr>
      </w:pPr>
      <w:r w:rsidRPr="00A4268A">
        <w:rPr>
          <w:rFonts w:eastAsia="Calibri"/>
        </w:rPr>
        <w:t xml:space="preserve">The service has an established quality and risk management system.  Residents and families interviewed commented positively on the standard of care and services provided.  </w:t>
      </w:r>
    </w:p>
    <w:p w:rsidRPr="00A4268A">
      <w:pPr>
        <w:spacing w:before="240" w:line="276" w:lineRule="auto"/>
        <w:rPr>
          <w:rFonts w:eastAsia="Calibri"/>
        </w:rPr>
      </w:pPr>
      <w:r w:rsidRPr="00A4268A">
        <w:rPr>
          <w:rFonts w:eastAsia="Calibri"/>
        </w:rPr>
        <w:t xml:space="preserve">The four previous audit shortfalls have been addressed around care planning, hot water temperatures, first aid training and infection control meetings.  </w:t>
      </w:r>
    </w:p>
    <w:p w:rsidRPr="00A4268A">
      <w:pPr>
        <w:spacing w:before="240" w:line="276" w:lineRule="auto"/>
        <w:rPr>
          <w:rFonts w:eastAsia="Calibri"/>
        </w:rPr>
      </w:pPr>
      <w:r w:rsidRPr="00A4268A">
        <w:rPr>
          <w:rFonts w:eastAsia="Calibri"/>
        </w:rPr>
        <w:t>This audit did not identify any further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Vines implements a quality and risk management system that supports the provision of clinical care.  Key components of the quality management system link to include monthly quality improvement meetings.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well-developed information pack available for residents and families/whānau at entry.  The service uses an electronic patient management system.  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were stored safely throughout the facility and hot water temperatures are monitored.  The building has a current warrant of fitness.  There was sufficient space to allow the movement of residents around the facility using mobility aids or lazy-boy chairs.  The hallways and communal areas were spacious and accessible.  The outdoor areas were safe and easily accessible and provide seating and shade.  The service has implemented policies and procedures for civil defence and other emergencies and six-monthly fire drills are conducted.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was one resident assessed as requiring the use of restraint and one using an enabler.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Surveillance data is undertaken.  Infection control meetings are held regularly.  Infection incidents are collected and analysed for trends and the information used to identify opportunities for improvements.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states that the village manager has overall responsibility for ensuring all complaints (verbal or written) are fully documented and investigated.  There is an electronic complaint register that includes relevant information regarding the complaint.  The number of complaints received each month is reported monthly to staff via the various meetings.  There have been three complaints made in 2019 and five 2020 YTD.  All complaints have been managed in line with Right 10 of the Code.  A review of complaints documentation evidenced resolution of the complaint to the satisfaction of the complainant and advocacy offered.  Complaints follow-up has included additional training for staff such as boundaries and safe use of wheelchairs.  One complaint received through the Health and Disability office (October 2019) included an action plan.  The action plan had been followed up and all issues closed by the Health and Disability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(four hospital and two rest home) and family members advised that they are aware of the complaint’s procedure.  Discussion around concerns, complaints and compliments was evident in facility meeting minutes.  Staff interviewed (four caregivers, one registered nurse, the cook, an activities person and the maintenance person) were able to describe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village manager and care centre manager confirmed family are kept informed.  Two relatives interviewed with family at hospital level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provides care for up to 43 residents at hospital and rest home level care.  On the day of the audit, there were 41 residents in total, 20 residents at rest home level, including one respite resident and 21 residents at hospital level.  All other residents were under the aged residential related care (ARRC) contract.  All 43 beds are identified as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in the Vines has a site-specific business and quality plan 2020.  Quality objectives include: person-centred care, excellent clinical care, and achievements towards certification. There is a documented review of progress towards goals.  Meeting minutes document review of quality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at Summerset in the Vines for five years.  The village manager is supported by a care centre manager and a clinical nurse lead.  The care centre manager has been in the position for five months, he has worked in a variety of clinical roles at Summerset.  The clinical nurse lead has been in the role for three months.  There is a regional operations manager and regional quality manager (present at the time of the audit) who are available to support the facility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have attended at least eight hours of leadership professional development relevant to the role through the Summerset leadership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weekly managers’ meetings, staff meetings, and monthly registered nurse meetings and monthly quality meetings.  Meetings minutes sighted evidenced there is discussion around quality data including complaints, compliments, health and safety, accident/incident, infection control, internal audits and survey results.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monthly summary of internal audit outcomes is provided to the quality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The service has detailed emergency plans covering all types of emergency situations and staff receive ongoing training around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was completed in September 2020 that shows an overall improved satisfaction with the service.  Corrective actions were documented and show continued follow-up around: meals, communication, the environment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Ten resident related incident reports for January 2019 were reviewed.  Each event involving a resident reflected a clinical assessment and follow-up by an RN.  Neurological observation forms were documented and completed for five unwitnessed falls with a potential head injury.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that there is an awareness of the requirement to notify relevant authorities in relation to essential notifications.  There have been section 31 notifications around: notification of the new care centre manager, one absconding resident, one pressure injury and a call bell issue.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(one care centre manager, one clinical nurse lead, one diversional therapist and two caregivers) were reviewed and all had relevant documentation relating to employment.  All files reviewed included annual performance appraisals for staff who had been employed for longer than one year.  A register of RN practising certificates is maintained.  Practicing certificates for other health practitioners are retained to provide evidence of registration.  The service has an orientation programme in place that provides new staff with relevant information for safe work practice.  The orientation programme includes documented competencies and induction checklists.  A full orientation was completed for staff prior to the opening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orientation process and believed new staff were adequately orientated to the service.  There is an implemented annual education plan.  A competency programme is in place with different requirements according to work type (eg, caregivers, RN and household staff).  Core competencies are completed, and a record of completion is maintained on staff files.  Four of the seven RNs are interRAI trained, including the care centre manager.  Staff interviewed were aware of the requirement to complete competency training.  Caregivers are supported to complete an aged care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safe staffing policy and procedure, which describes staffing and is based on benchmarking information.  Staffing levels and skills mix policy is the documented rationale for determining staffing levels and skill mixes for safe service delivery.  The village manager and care centre manager, both work 40 hours per week from Monday to Friday and are available on call for any operational issues or clinical support respectively.  The clinical nurse lead works Monday to Thursday.  The service provides 24-hour RN cover.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41 of 43 residents in total (20 rest home and 21 hospital).  There are two RNs and six caregivers (three long and three short shifts) on duty on the morning shift, one RN and five caregivers (three long and two short shifts) on duty on the afternoon shift, and one RN and two caregivers on duty on the night shift.  A staff availability list ensures that staff sickness and vacant shifts are covered.  Additional staff were rostered on duty during the Covid-19 lockdown.  This included an additional RN, two additional caregivers and an extra housekeeper each day.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Registered nurses and ENs and senior caregivers are responsible for the administration of medications for care residents.  Medication competencies and education is completed annually for all staff who administer medications.  The service has an electronic medication system.  There were no residents self-medicating on the day of audit.  Ten resident medication charts on the electronic medication system were reviewed.  The charts had photograph identification and allergy status recorded.  Indications for use were documented in all charts reviewed.  All ‘as required’ medications had an indication for use.  The general practitioner had reviewed the medication chart three monthly.  There was evidence that all medications were checked on delivery with any discrepancies fed back to the supplying pharmacy.  There were no residents self-medicating and RNs interviewed were knowledgeable around monitoring self-medication.  All medications were stored appropriately and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has comprehensive nutritional management policies and procedures for the provision of food services for residents.  The service has a new contractor for the provision of all meals on site.  The kitchen is adjacent to the dining room.  Meals are served from the bain marie to residents in the dining room.  Meals can be delivered to residents who prefer to remain in their room.  There is an up-to-date food control plan.  As part of the food safety programme, kitchen fridge/freezer temperatures and food temperatures are recorded and documented at the beginning of the service and when the last meal is 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training for food services staff has been completed.  The seasonal menu has been reviewed by a dietitian.  The menu includes the resident preferences and resident dietary requirements.  Dislikes are known and accommodated.  Special diets such as gluten free, soft diet, pureed meals, high calorie diet and diabetic diet are provided.  The service also has an onsite café which is run by the same contractor.  Residents and families can purchase meals from the café.  The chef manager receives feedback from resident meetings, surveys and welcomes suggestions on the meal service.  Residents and family members interviewed commented positively about the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long term care plans and the respite care plan reviewed included interventions that reflected the resident’s current needs.  When a residents’ condition changes the RN initiates a GP visit or specialist referral.  Residents interviewed reported their needs were being met.  Family members interviewed stated the care and support met their expectations for their relative.  There was documented evidence of relative contact for any changes to resident health status.  Registered nurses are regularly involved in resident daily care and ongoing assessments as identified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were comprehensive and included current assessed support needs.  Monitoring forms are completed on the electronic resident system.  Work logs entered onto the system alert staff of monitoring requirements and these are signed off as completed.  Registered nurses review the monitoring charts, which include pain monitoring, neurological observations, bowel monitoring, two hourly re-positioning, restraint/enablers monitoring and food and fluid intake monitoring.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29 wounds documented, including three pressure injuries (one each of stage one, two and three - all were healing well).  Four residents had more than one wound.  All wounds, including those recently healed, were on the wound log.  Recently healed wounds were on the wound log to ensure monitoring.  Wound assessment and management plans were documented including complete evaluations of each wound,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reported that a range of equipment was readily available as needed including hoists and manual handling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employ a recreational therapist who is studying towards obtaining her diversional therapist qualification.  She works 31 hours per week, Sunday to Thursday.  There is also a part time recreational therapist on Saturday and as required.  The recreational therapist teleconferences with other Summerset recreational therapists weekly.  The programme is prepared a month in advance and are meaningful and relevant for all residents.  Rest home and hospital residents join together for the activity programme.  Participation of residents is monitored and documented.  There are strong links with community.  Group activities reflect ordinary patterns of life and include at least weekly planned visits to the community.  All residents in the facility may choose to attend any of the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person or operations manager interviews each newly admitted resident on or soon after admission and takes a social history.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stated they enjoy the variety of activities offered and they have input into planning of the programme via daily feedback, resident surveys and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updated.  There was documented evidence that care plan evaluations were current in resident files sampled for residents who had resided in the service for over six months.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A planned and reactive maintenance plan is implemented.  Hot water temperatures have been tested and recorded monthly.  All temperatures were within range, this is an improvement from the previous audit.  The corridors are wide and have safety rails and promote safe mobility with the use of mobility aids.  Residents were observed moving freely around the areas with mobility aids where required.  The external areas and gardens were well maintained.  All outdoor areas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have adequate equipment to safely deliver care for rest home and hospital level of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management and civil defence plan in place to guide staff in managing emergencies and disasters.  Emergency equipment is available at the facility.  A fire evacuation plan is in place that has been approved by the New Zealand Fire Service.  Fire safety and emergency management training is provided to staff.  There is appropriate equipment to respond to a fire and other clinical emergencies.  Equipment was maintained by the external contractors.  There is at least one staff on duty who has a current first aid certificate, including staff who facilitate outings; this is an improvement from the previous audit.  Fire evacuation drills have been conducted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comprises of a cross section of staff from areas of the service.  The infection control committee meetings were scheduled monthly.  Since the previous audit meetings have taken place according the to schedule.  The facility has access to an infection control nurse specialist at the DHB, public health authorities, laboratory, general practitioners and experts within the organisation.  Infection events are forwarded to head office for benchmarking.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Surveillance programme is implemented and is appropriate to the size and complexity of the facility.  Infection events are entered into the electronic patient management system and extracted monthly onto the share point electronic system.  The infection prevention and control coordinator provide infection control data, trends and relevant information to the infection control committee and clinical/quality meetings.  There is also a quality initiative in place with the aim of reducing urinary infections.  This is currently ongoing.</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folder available for all staff.  The folder includes information, an action plan, as well as specific interventions in the event of a resurgence.  Additional training has been provided to staff around PPE.  Contact tracing continues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 service currently has one resident assessed as requiring the use of restraint and one requiring an enabler (bedrails).  The care plans are up to date and provide the basis of factual information in assessing the risks of safety and the need for restraint.  Ongoing consultation with the resident and family/whānau is also identified.  Residents voluntarily request and consent to enabler use.  Staff receive training around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Vines</w:t>
    </w:r>
    <w:bookmarkEnd w:id="58"/>
    <w:r>
      <w:rPr>
        <w:rFonts w:cs="Arial"/>
        <w:sz w:val="16"/>
        <w:szCs w:val="20"/>
      </w:rPr>
      <w:tab/>
      <w:t xml:space="preserve">Date of Audit: </w:t>
    </w:r>
    <w:bookmarkStart w:id="59" w:name="AuditStartDate1"/>
    <w:r>
      <w:rPr>
        <w:rFonts w:cs="Arial"/>
        <w:sz w:val="16"/>
        <w:szCs w:val="20"/>
      </w:rPr>
      <w:t>16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