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Karina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Karina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January 2021</w:t>
      </w:r>
      <w:bookmarkEnd w:id="7"/>
      <w:r w:rsidRPr="009418D4">
        <w:rPr>
          <w:rFonts w:cs="Arial"/>
        </w:rPr>
        <w:tab/>
        <w:t xml:space="preserve">End date: </w:t>
      </w:r>
      <w:bookmarkStart w:id="8" w:name="AuditEndDate"/>
      <w:r w:rsidR="00A4268A">
        <w:rPr>
          <w:rFonts w:cs="Arial"/>
        </w:rPr>
        <w:t>20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Karina Lifecare provides rest home level care for up to 37 residents. The service is operated by Heritage Lifecare Limited and managed by a suitably experienced and qualified facility/clinical services manager who commenced the role in October 2020. This and two newly appointed registered nurses are the most significant changes to the service since the March 2019 surveillance audit.  </w:t>
      </w:r>
    </w:p>
    <w:p w:rsidRPr="00A4268A">
      <w:pPr>
        <w:spacing w:before="240" w:line="276" w:lineRule="auto"/>
        <w:rPr>
          <w:rFonts w:eastAsia="Calibri"/>
        </w:rPr>
      </w:pPr>
      <w:r w:rsidRPr="00A4268A">
        <w:rPr>
          <w:rFonts w:eastAsia="Calibri"/>
        </w:rPr>
        <w:t>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the facility/clinical services manager, regional operations manager, registered nurses, care staff, allied staff and a nurse practitioner who visits weekly. </w:t>
      </w:r>
    </w:p>
    <w:p w:rsidRPr="00A4268A">
      <w:pPr>
        <w:spacing w:before="240" w:line="276" w:lineRule="auto"/>
        <w:rPr>
          <w:rFonts w:eastAsia="Calibri"/>
        </w:rPr>
      </w:pPr>
      <w:r w:rsidRPr="00A4268A">
        <w:rPr>
          <w:rFonts w:eastAsia="Calibri"/>
        </w:rPr>
        <w:t xml:space="preserve">This audit identified four areas requiring improvement. These relate to archiving records, documenting goals/strategies and interventions, laundry services, and review of the infection control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of Karina Lifecare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very respectful manner. </w:t>
      </w:r>
    </w:p>
    <w:p w:rsidRPr="00A4268A">
      <w:pPr>
        <w:spacing w:before="240" w:line="276" w:lineRule="auto"/>
        <w:rPr>
          <w:rFonts w:eastAsia="Calibri"/>
        </w:rPr>
      </w:pPr>
      <w:r w:rsidRPr="00A4268A">
        <w:rPr>
          <w:rFonts w:eastAsia="Calibri"/>
        </w:rPr>
        <w:t>Open communication between staff, residents and families is promoted, and confirmed through documentation and interviews to be effective. There is access to interpreting services if required. Karina Lifecare provides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 xml:space="preserve">Karina Lifecare has linkages with a range of specialist health care providers to support best practice and meet resident’s needs.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Heritage Lifecare Limited’s business and quality and risk management plans include the vision and values of the organisation. Monitoring of the services provided to the governing body is effective and occurs regularly. </w:t>
      </w:r>
    </w:p>
    <w:p w:rsidRPr="00A4268A">
      <w:pPr>
        <w:spacing w:before="240" w:line="276" w:lineRule="auto"/>
        <w:rPr>
          <w:rFonts w:eastAsia="Calibri"/>
        </w:rPr>
      </w:pPr>
      <w:r w:rsidRPr="00A4268A">
        <w:rPr>
          <w:rFonts w:eastAsia="Calibri"/>
        </w:rPr>
        <w:t xml:space="preserve">A suitably experienced and qualified person manages the care facility.  </w:t>
      </w:r>
    </w:p>
    <w:p w:rsidRPr="00A4268A">
      <w:pPr>
        <w:spacing w:before="240" w:line="276" w:lineRule="auto"/>
        <w:rPr>
          <w:rFonts w:eastAsia="Calibri"/>
        </w:rPr>
      </w:pPr>
      <w:r w:rsidRPr="00A4268A">
        <w:rPr>
          <w:rFonts w:eastAsia="Calibri"/>
        </w:rPr>
        <w:t xml:space="preserve">The organisation’s quality and risk management system include collection and analysis of quality improvement data, identifies trends and leads to improvements. The facility/clinical services manager collates and analyses quality data at facility level. Staff are involved and feedback is sought from residents and families. Adverse events are documented with corrective actions implemented. Actual and potential risks, including health and safety risks, are identified, and mitigated. Organisational policies and procedures support service delivery and were current and reviewed regularly. </w:t>
      </w:r>
    </w:p>
    <w:p w:rsidRPr="00A4268A">
      <w:pPr>
        <w:spacing w:before="240" w:line="276" w:lineRule="auto"/>
        <w:rPr>
          <w:rFonts w:eastAsia="Calibri"/>
        </w:rPr>
      </w:pPr>
      <w:r w:rsidRPr="00A4268A">
        <w:rPr>
          <w:rFonts w:eastAsia="Calibri"/>
        </w:rPr>
        <w:t>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Karina Lifecare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nurse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at Karina Lifecare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Waste and hazardous substances are well managed. Staff use protective equipment and clothing. Chemicals, soiled linen, and equipment are safely stored. Laundry is undertaken onsite. The environment meets the needs of residents and was clean and well maintained. </w:t>
      </w:r>
    </w:p>
    <w:p w:rsidRPr="00A4268A">
      <w:pPr>
        <w:spacing w:before="240" w:line="276" w:lineRule="auto"/>
        <w:rPr>
          <w:rFonts w:eastAsia="Calibri"/>
        </w:rPr>
      </w:pPr>
      <w:r w:rsidRPr="00A4268A">
        <w:rPr>
          <w:rFonts w:eastAsia="Calibri"/>
        </w:rPr>
        <w:t xml:space="preserve">There was a current building warrant of fitness. Electrical and medical equipment has been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There were no restraints or enablers in use at the time of audit. </w:t>
      </w:r>
    </w:p>
    <w:p w:rsidRPr="00A4268A">
      <w:pPr>
        <w:spacing w:before="240" w:line="276" w:lineRule="auto"/>
        <w:rPr>
          <w:rFonts w:eastAsia="Calibri"/>
        </w:rPr>
      </w:pPr>
      <w:r w:rsidRPr="00A4268A">
        <w:rPr>
          <w:rFonts w:eastAsia="Calibri"/>
        </w:rPr>
        <w:t>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7"/>
        <w:gridCol w:w="1280"/>
        <w:gridCol w:w="101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Karina Lifecare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Families confirmed they were made aware of the Code on admission.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interviewed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supports the philosophy of the eden alternative.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reviewed complaints policy and associated forms meet the requirements of Right 10 of the Code. Information on the complaint process is provided to residents and families on admission and those interviewed knew how to do so. Boxes are available in the corridor in several places throughout the rest home for the confidential delivery of complaints and compliments.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complaints register revealed that all the 11 complaints received since the previous surveillance audit in 2019 had been investigated, actions implemented through to an agreed resolution and completed within the timeframes. The facility manager/clinical service manager is responsible for complaints management and follow up. All staff interviewed confirmed a sound understanding of the complaint process and what actions are required. An anonymous complaint received by the DHB in August 2020 had been investigated and found to be partially substantiated. The remedial actions required related to this complaint have been implemented and the matter was closed. There was evidence that all complaints had been closed. Documents reviewed and interviews with two managers confirmed there had been no complaints to the office of the Health and Disability Commissioner.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through the admission process and welcome pack. The Code is displayed in the reception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Staff were observed to maintain privacy throughout the audit. All residents have a private room. Residents are encouraged to maintain their independence by community activities, participation in clubs of their choosing and attending resident meetings. Care plans included documentation related to the resident’s abilities, and strategies to maximise independence. Records reviewed confirmed that each resident’s individual cultural, religious and social needs, values and beliefs had been identified, documented and incorporated into their care plan. 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no residents who identified as Māori. Staff reflected in interviews that when they do have residents who identify as Māori, they support them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preferred awake and sleep time, activity preferences, and dietary preferences). The resident satisfaction survey and interviews with residents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diabetes nurse specialist, wound care specialist, psychogeriatrician and mental health services for older persons, and education of staff. The nurse practitioner (NP)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Another example of good practice observed during the audit included staff incorporating the eden alternative philosophy into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they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Staff knew how to access interpreter services, although reported this was rarely required due to all residents being able to speak English and utilising communication cards for those with communication difficulties.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Heritage Lifecare Limited strategic and business plans, which are reviewed annually, outline the, values, and vision of the organisation. A sample of weekly operations reports to the regional operational manager, business analyst and general manager clinical and quality showed adequate information to monitor performance is reported including health and safety issues financial performance, compliments and complaints, staffing, property issues, and general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facility/clinical services manager who holds relevant qualifications is a registered nurse and has been in the role since 05 October 2020 although they have had experience in the sector in New Zealand for several years. Responsibilities and accountabilities are defined in a job description and individual employment agreement. The facility/clinical services manager confirmed knowledge of the sector, regulatory and reporting requirements and maintains currency through the local DHB aged care forum and the Heritage Lifecare Limited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Karina Lifecare holds contracts with Mid Central District Health Board (DHB) and the Ministry of Health (MoH) for Young Persons with Physical Disability (YPD), to provide rest home, respite, and day care. Thirty two of the 37 beds were occupied on the days of audit. Two residents were receiving services under a DHB respite agreement, 27 residents were under the DHB age related contract and three residents were under the YPD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senior staff revealed that the arrangement is for the senior registered nurse (RN) to act as facility/clinical services manager, with support from other Heritage Lifecare managers in the event of the manager’s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which reflects the principles of continuous quality improvement. At Karina Lifecare this includes but is not limited to; accident reporting, management of incidents, complaints and compliments, audit activities, a regular resident satisfaction survey, monitoring of outcomes such as weight loss, clinical incidents including infections, falls and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monthly quality and staff meetings. Staff reported their involvement in quality and risk management activities through meeting attendance, incident reporting and audit activities. Relevant corrective actions are developed and implemented to address any shortfalls. Additionally, the facility/clinical services manager documented a corrective action plan in October that prioritises and describes a range of issues requiring corrective actions. These are time framed for implementation, with evaluation and monitoring notes that show progress or closure. Resident and family satisfaction surveys are completed annually. The July 2020 results revealed no major issues, although there was a low return rate of seven residents and seven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policies are based on best practice and were current. The document control system ensures a systematic and regular review and approval process, with referencing of relevant sources. The local distribution and removal of obsolete documents is the responsibility of the facility/clinical services manager. Hard copy policies are available for staff in the nurses’ office and the RNs also have electronic access to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managers were conversant with and described the processes for the identification, monitoring, review and reporting of risks and development of mitigation strategies. Documentation reviewed included a comprehensive risk management plan, and a current hazard register which includes hazardous substances. These were being monitored by the implemented health and safety system, for example the nominated health and safety officer and relevant team at monthly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and resident related incidents are documented within the electronic system. A sample of incidents reviewed showed these were fully completed, incidents were investigated, action plans developed and actions followed-up in a timely manner. The RNs and facility/clinical services manager receive electronic alerts when actions are required to complete incident investigation and follow up actions. Adverse event data is collated and analysed by the facility/clinical services manager and reported through to the support office and operations manager. These are used for comparison with other HLL facilities and monitoring local trends.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and facility/clinical services manager demonstrated knowledge and understanding of essential notification reporting requirements. Notification about the change of management occurred in October 2020 and another notification related to a respite resident was notified in 03 November 2020. The Heritage Lifecare process escalates the external reporting of these to the general manager clinical and quality.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Four new staff interviewed said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Of the 17 carers employed (this number includes the diversional therapist) four have achieved level four, six have level three, five have level two and two are yet to complete a Careerforce module. There are two trained and competent registered nurses who are maintaining their annual competency requirements to undertake interRAI assessments. Records reviewed demonstrated completion of the required training and completion of annual performance appraisals. The facility manager has also completed InterRAI training but not maintaining competency and has management access to the system.</w:t>
            </w:r>
          </w:p>
          <w:p w:rsidR="00EB7645" w:rsidRPr="00BE00C7" w:rsidP="00BE00C7">
            <w:pPr>
              <w:pStyle w:val="OutcomeDescription"/>
              <w:spacing w:before="120" w:after="120"/>
              <w:rPr>
                <w:rFonts w:cs="Arial"/>
                <w:b w:val="0"/>
                <w:lang w:eastAsia="en-NZ"/>
              </w:rPr>
            </w:pPr>
            <w:r w:rsidRPr="00BE00C7">
              <w:rPr>
                <w:rFonts w:cs="Arial"/>
                <w:b w:val="0"/>
                <w:lang w:eastAsia="en-NZ"/>
              </w:rPr>
              <w:t>The new facility/clinical services manager has met one to one with each staff member in preparation for their annual performance appraisal as required in the ARCC. These are all scheduled to occur over the next two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for the RNs and facility/clinical services manager is in place, with staff reporting that access to advice is available when needed. Of the 14 staff from different disciplines interviewed, all said they had adequate hours to complete the work allocated to them. On the days of audit there were four carers allocated on the morning shift for 32 residents. Two of these worked short shifts for example 7am to 11am and 8.30 to 2pm. Three carers work the afternoon shift, one starts later at 4.30pm and finishes at 8.30pm. There were two carers rostered on night shift. An RN is on site for eight hours a day (8.30-5pm) seven days a week and the facility/clinical services manager works Monday to Friday normal business hours. The maintenance person works five hours a day Monday to Friday, the diversional therapist (DT) is on site Monday to Friday between 9pm and 3pm, and there is one cleaner rostered seven days a week for six hours a day and three hours a day on the weekend. Three kitchen staff are employed and an administrator Monday to Friday. There were no laundry staff, all carers on each shift are responsible for laundry services. There is a corrective action related to laundry services in criterion 1.4.6.2.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were satisfied with the number of staff available at any time. Observations and review of a four-week roster cycle confirmed adequate staff cover has been provided, with staff replaced in any unplanned absence. Use of agency/bureau staff is rare, one care staff was used for one night shift in the past three months.  Interviews and rosters confirmed there is always at least one staff member on duty with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the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There were no clear systems for cataloguing and efficiently retrieving stored records and this requires improvement.</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NASC, GP or NP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‘pink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appropriate transfer documentation.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A safe electronic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Controlled drugs are stored securely in accordance with requirements and checked by two staff for accuracy when administering. The controlled drug register provided evidence of weekly and six-monthly stock checks and accurate entries. Karina Lifecare have recently purchased two glass measures to ensure accuracy with liquid controlled drug reconciliations.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practices included the prescriber’s signature and date recorded on the commencement and discontinuation of medicines and all requirements for pro re nata (PRN) medicines. The required three-monthly GP review was consistently recorded on the medicine chart.  Standing orders are not used. There was one resident who was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which are discussed at RN and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cook and kitchen team and is in line with recognised nutritional guidelines for older people. The menu follows summer and winter patterns and has been reviewed by a qualified dietitian within the last two years. Recommendations made at that time have been implemented. All aspects of food procurement, production, preparation, storage, transportation, delivery and disposal comply with current legislation and guidelines. The service operates with an approved food safety plan and registration issued by Palmerston North City Council.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telephone call and written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the Abbey Pain Scale, falls risk assessment tool (FRAT), skin integrity, mini nutritional assessment (MNA) and depression scale to identify any deficits to inform care planning. The sample of care plans reviewed had an integrated range of resident-related information. All residents have current interRAI assessments completed and the relevant outcome scores have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eight care plans reviewed reflected the support needs of residents, and the outcomes of the integrated assessment process and other relevant clinical information. The needs identified by the interRAI assessments were reflected in the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NP interviewed, verified that medical input is sought in a timely manner, that medical orders are followed, and care is excellent.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one trained diversional therapist (DT) who holds the National Certificate in Diversional Therapy along with rostered volunteers.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reflected residents’ goals, ordinary patterns of life and included normal community activities. Individual, group activities and regular events are offered. Residents and families/whānau are involved in evaluating and improving the programme through residents’ meetings, satisfaction surveys, and informal meetings with the DT. Residents interviewed confirmed they find the programme enjoyable and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medication, infections and wounds.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nurse practitioner’, residents may choose to use another medical practitioner. If the need for other non-urgent services are indicated or requested, the NP or RN sends a referral to seek specialist input.  Copies of referrals were sighted in residents’ files, including to dieticians, specialists and district nurses.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maintenance and care staff have completed safe chemical handling.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(26 July 2021)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internal environment was hazard free and resident safety was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were observed as appropriate to the resident group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Review of the maintenance request book confirmed that requests are actioned in a timely manner. 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Four resident rooms have toilets. Shower rooms and toilets are located close to resident bedrooms and common rooms for easy access. These include seven showers, one bath and eight toilets plus a staff and visitors’ toilet. Appropriately secured and approved handrails are provided in the toilet/shower areas, and other equipment/accessories are available to promote residents’ independence. Hot water temperature testing is carried out each month. Records and interview with maintenance personnel confirmed that hot water temperatures are maintained within a safe range, for example no higher than 45 degrees celsius in resident accessible areas and higher in the kitchen and laundry.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by the carers on all shifts. Care staff demonstrated a sound knowledge of the laundry processes, dirty/clean flow and handling of soiled linen. Concerns were raised about the effectiveness of laundry services and this requires improvement.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did not express any dissatisfaction with the laundering of their clothes and there were no complaints received.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Both cleaners have attended training in safe use of chemical,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were being monitored through the monthly health and safety meetings. A carer and a cleaner are health and safety representatives.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were displayed and known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Disaster and civil defence planning guides direct the facility in their preparation for disasters and described the procedures to be followed in the event of a fire or other emergency. No changes have occurred to the building since the New Zealand Fire and Emergency Services (FENZ) approved the fire evacuation scheme. </w:t>
            </w:r>
          </w:p>
          <w:p w:rsidR="00EB7645" w:rsidRPr="00BE00C7" w:rsidP="00BE00C7">
            <w:pPr>
              <w:pStyle w:val="OutcomeDescription"/>
              <w:spacing w:before="120" w:after="120"/>
              <w:rPr>
                <w:rFonts w:cs="Arial"/>
                <w:b w:val="0"/>
                <w:lang w:eastAsia="en-NZ"/>
              </w:rPr>
            </w:pPr>
            <w:r w:rsidRPr="00BE00C7">
              <w:rPr>
                <w:rFonts w:cs="Arial"/>
                <w:b w:val="0"/>
                <w:lang w:eastAsia="en-NZ"/>
              </w:rPr>
              <w:t>A trial evacuation takes place six-monthly with a copy sent to FENZ, the most recent being August 2020 and another is scheduled for 03 February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extensive range of supplies for use in the event of a civil defence emergency, were sighted and meet the National Emergency Management Agency recommendations for the region. These include medical and first aid supplies, torches, batteries, radio, food, water, blankets, and gas cooking equipment. Sufficient supplies of potable water (over 500 litres for 37 residents) were stored inside and other water storage tanks are located around the complex. There is a petrol operated generator on site for use in a power outage and the battery-operated emergency lighting is automatically triggered if the power fails.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A failure in the call system was alerted to the DHB on day two of the audit and strategies to minimise the risk of no call bells were immediately implemented. The system was successfully repaired. Observations during the audit and residents and relative interviews revealed that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There have been no security matters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were warm and well ventilated throughout the audit. Rooms have natural light and opening external windows. Heating is provided by electricity in residents’ rooms and in the communal areas. Areas and residents and families confirmed the home is maintained at a comfortable temperature all year 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management and staff. The infection control programme and manual has not been reviewed annually and this requires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monthly to the facility manager, and tabled at the quality/risk committee meeting. This committee includes the facility manager, IPC coordinator, health and safety representative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three months. She has undertaken a post graduate certificate and attended relevant study days, as verified in training records sighted. Additional support and information are accessed from the infection control team at the DHB, the community laboratory, the NP and public health unit, as required. The coordinator has access to residents’ records and diagnostic results to ensure timely treatment and resolution of any infections. 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Karina Lifecare infection prevention and control policies reflected the requirements of the infection prevention and control standard and current accepted good practice.  Policies were last reviewed in 2020 and included appropriate referencing. 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by Karina Lifecare. When an infection outbreak or an increase in infection incidence has occurred, there was evidence that additional staff education has been provided in response. An example of this occurred when eye infections increased, and staff were given education on eye baths to reduce infections. 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at Karina Lifecare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facility manager, Heritage Lifecare Limited national quality manager, IPC committee and staff. The data is available for staff in the nurse’s station. Infection data is benchmarked externally within the Heritage Lifecare Group.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residents using restraints for the past four years and on the days of audit there were no residents using enablers.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knowledge and understanding about the definitions and requirements of this standard. In service education about restraint minimisations, use of alternatives and managing challenging behaviour is provided to all staff at last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59"/>
        <w:gridCol w:w="1280"/>
        <w:gridCol w:w="8236"/>
        <w:gridCol w:w="1403"/>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1.2.9.10</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consumer service delivery are integrated.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electronic and hard copy records are integrated.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archived records are held securely on site, for example boxes of documents are stored in lockable and fire secured cupboards in the basement. There was no clear system for cataloguing and for efficiently retrieving stored records. Staff knew that these need to be stored for the required 10-year period before being destroyed, but there were so many boxes of records stored in a haphazard manner, the date range for these was unknown. The organisation uses an external agency for document destruction. Management had identified the above issues in a corrective action plan with a March 2021 timeframe for remedial action to occur.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clear system for categorising and retrieving archived records.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your corrective action plan to ensure an efficient and effective system for storage of archived records.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eight care records confirmed that service delivery plans reflect the individual and identify their needs. But four of the eight records reviewed contained no goals, strategies or interventions at all, to address their needs or promote continuity of care. Two of those residents have been at Karina Lifecare since September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 records contained goals and strategies to address the needs and outcomes identified during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resident has a plan of care that describes the goals to achieve desired outcomes.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are responsible for processing all laundry on each shift, for example linen and personal clothing. Staff interview, observations and documents reviewed revealed ongoing issues. For example, lost and damaged personal items of clothing and staff expressed frustration about no clear coordination of the process. The system relies on whomever was passing the laundry room to check on wash and drying cycles. There were six residents who required daily bed linen changes, which staff said increases their laundry workload.  Visual inspections and interviews reveal there was an adequate supply of linen available although staff reported that last year there a period of time where there were not enough wash cloths, this has since been remedied. This is rated low risk as the facility manager and operations manager developed a new roster before the audit was completed which allocates four hours a day for a dedicated laundry staff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of the effectiveness of cleaning and laundry services has recently commenced at monthly health and safety meetings. A cleaner and a carer are nominated as representatives at these meetings to report matters as they arise.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laundry system requires ongoing monitoring and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all aspects of the laundry services to determine its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effective infection control programme which includes conducting regular surveillance activities. Karina Lifecare infection control program has not been reviewed as required since December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 has not been reviewed for over a year.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infection control program is reviewed at least annually as per your policy and this standard.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Karina Lifecare</w:t>
    </w:r>
    <w:bookmarkEnd w:id="58"/>
    <w:r>
      <w:rPr>
        <w:rFonts w:cs="Arial"/>
        <w:sz w:val="16"/>
        <w:szCs w:val="20"/>
      </w:rPr>
      <w:tab/>
      <w:t xml:space="preserve">Date of Audit: </w:t>
    </w:r>
    <w:bookmarkStart w:id="59" w:name="AuditStartDate1"/>
    <w:r>
      <w:rPr>
        <w:rFonts w:cs="Arial"/>
        <w:sz w:val="16"/>
        <w:szCs w:val="20"/>
      </w:rPr>
      <w:t>19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