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Lakeside Lodge Rest Home Limited - Lakeside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Lakeside Lodge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Lakeside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2020</w:t>
      </w:r>
      <w:bookmarkEnd w:id="7"/>
      <w:r w:rsidRPr="009418D4">
        <w:rPr>
          <w:rFonts w:cs="Arial"/>
        </w:rPr>
        <w:tab/>
        <w:t xml:space="preserve">End date: </w:t>
      </w:r>
      <w:bookmarkStart w:id="8" w:name="AuditEndDate"/>
      <w:r w:rsidR="00A4268A">
        <w:rPr>
          <w:rFonts w:cs="Arial"/>
        </w:rPr>
        <w:t>6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Lakeside Lodge provides rest home level care for up to 30 residents.  On the day of the audit there were 29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rest home is owned and operated by the facility manager and the clinical manager.  Both owners are registered nurses.  They employ an additional registered nurse.  The rest home continues to have a high registered nurse to resident ratio with stable staffing.  </w:t>
      </w:r>
    </w:p>
    <w:p w:rsidRPr="00A4268A">
      <w:pPr>
        <w:spacing w:before="240" w:line="276" w:lineRule="auto"/>
        <w:rPr>
          <w:rFonts w:eastAsia="Calibri"/>
        </w:rPr>
      </w:pPr>
      <w:r w:rsidRPr="00A4268A">
        <w:rPr>
          <w:rFonts w:eastAsia="Calibri"/>
        </w:rPr>
        <w:t>The residents, relatives and general practitioner spoke highly of the care and service provided at Lakeside Lodge.  The service has a well-established quality system that identifies ongoing quality improvement.</w:t>
      </w:r>
    </w:p>
    <w:p w:rsidRPr="00A4268A">
      <w:pPr>
        <w:spacing w:before="240" w:line="276" w:lineRule="auto"/>
        <w:rPr>
          <w:rFonts w:eastAsia="Calibri"/>
        </w:rPr>
      </w:pPr>
      <w:r w:rsidRPr="00A4268A">
        <w:rPr>
          <w:rFonts w:eastAsia="Calibri"/>
        </w:rPr>
        <w:t>The one shortfall identified as part of the previous audit around care plan documentation has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Health and Disability Commissioner’s (HDC) Code of Health and Disability Services Consumers’ Rights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an established quality and risk management system in place that is being implemented.  Quality management processes are reflected in the business plan and risk management plan, objectives and policies.  There is a monthly staff meeting that includes health and safety, infection prevention and control, discussion of quality and risk matters including adverse events.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Internal areas are spacious warm, and comfortable.  External areas are safe and well maintained with shade and seating available.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includes the definitions of restraint and enablers, which is congruent with the definitions in NZS 8134.0.  At the time of the audit, the service had no residents using restraints or enablers.  Staff have received training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suitable for a facility of this type.  The programme is led by the manager with support from the clinical manager and the registered nurse.  The programme is based upon a clear set of policies and procedures that are available to guide staff.  The general practitioner is actively involved in the management of residents with suspected infections.  Education is provided to staff on an ongoing basis and infection prevention and control is included in the internal audit programme.  Infections are monitored, and practice is reviewed every month.  Trends can then be identified.  There have been no recent outbreaks of infection in the rest home.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1280"/>
        <w:gridCol w:w="10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and procedure in place, which meets the requirements of the Code.  The process is communicated to residents and their families on admission.  Complaint forms are readily available.  Staff are educated on the complaints process.  There have been no complaints made in 2017, 2018 and 2019 and 2020 year to date.  Any resident concerns are actively addressed by the managers.  Four residents and family members interviewed advised that they are aware of the complaint’s procedure. Five staff members and two managers interviewed were able to explain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owner/ manager and clinical manager confirmed family are kept informed.  Two relatives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sign a communication sheet to inform the service when and under what circumstances they would like to be informed. Ten incident forms reviewed identified that family were notified following a resident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Lakeside Retirement Lodge provides care for up to 30 rest home level residents.  On the day of audit there were 29 residents.  All residents were being provided with services under the Aged Related Residential Care agreement (ARRC).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is a registered nurse with a background in mental health.  He has worked in aged care since 1996 and has co-owned Lakeside Retirement Lodge for over 17 years.  His wife and co-owner is also is a registered nurse and is the clinical manager.  They both hold current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mission, scope and goals of the service are documented in the quality manual and in the information pack that is provided to residents and their families during their admission to the rest home.  There is a 2019 to 2020 business plan. There is a quality and risk plan in place developed by a consultant and personalised to Lakeside. The plan aligns  to the purpose, mission and values of the business.  The manager and the clinical manager have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Lakeside retirement lodge has a well-established and comprehensive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 minutes sighted evidenced staff discussion around accident/incident data, health and safety, infection control, audit outcomes, concerns and survey feedback.  The service collates accident/incident and infection control data.  Monthly comparisons include trend analysis.  The staff interviewed were aware of quality data results, trends and corrective actions.  The quality programme is linked to the annual training plan with extra and impromptu training offered as issues are identified as evidence through a review of staff / quality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monthly summary of internal audit outcomes is provided to the staff/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owner/manager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detailed emergency plans covering all types of emergency situations including a pandemic and outbreak plan and staff receive ongoing training around this.</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There is ample equipment to assist resident mobility. Each resident has their own walking frame as needed, and there are at least twelve more walking frames stored.  Wheelchairs are available and maintained in good order.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incident and accident information reported by staff on a paper-based system.  Incident and accident data is collected and analysed monthly and are reported at the monthly quality/staff meeting. Ten resident-related, incident forms were reviewed for September/ October 2020.  Each event involving a resident reflected a clinical assessment and follow-up by an RN.  Care staff interviewed were very knowledgeable regarding the care needs (including high falls) for all residents.  Discussions with the owner/manager confirmed that there is an awareness of the requirement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reviewed (two RNs, three caregivers and one cook).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training schedule.  The implemented training schedule included mandatory training as well as additional training as needed.  Training for 2020 included pressure injury prevention, more recently the use of PPE, Covid-19  and hand hygiene have also been provided.</w:t>
            </w:r>
          </w:p>
          <w:p w:rsidR="00EB7645" w:rsidRPr="00BE00C7" w:rsidP="00BE00C7">
            <w:pPr>
              <w:pStyle w:val="OutcomeDescription"/>
              <w:spacing w:before="120" w:after="120"/>
              <w:rPr>
                <w:rFonts w:cs="Arial"/>
                <w:b w:val="0"/>
                <w:lang w:eastAsia="en-NZ"/>
              </w:rPr>
            </w:pPr>
            <w:r w:rsidRPr="00BE00C7">
              <w:rPr>
                <w:rFonts w:cs="Arial"/>
                <w:b w:val="0"/>
                <w:lang w:eastAsia="en-NZ"/>
              </w:rPr>
              <w:t>The two owners (manager and clinical manager)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(RN) and clinical manager work 40 hours per week Monday to Friday and are available on call for any emergency issues or clinical support.  An RN covers Saturday and Sunday morning shifts, one weekday afternoon shift and one morning shift each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on morning shifts (all full shift), two on the afternoon shift (full shift) and two on night shift.  An activities coordinator is rostered Monday to Friday, four to five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availability list ensures that staff sickness and vacant shifts are covered.  Caregivers interviewed confirmed that staff are always replaced when off sick.  The RN reported additional staff are rostered if the acuity increases,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relatives and staff confirmed that staffing levels are sufficient to meet the needs of residents.  The service does not use agency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There were no residents self-administering on the day of audit.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paper-based medication orders with photo identification and allergy status documented.  All medicines are stored securely when not in use.  A verification check is completed by the RN against the resident’s medicine order when new medicines are supplied from the pharmacy.  Medication orders include indications for use of ‘as needed’ medicines.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sheets sampled were all appropriately signed for ten medication charts reviewed.  Medication charts  reviewed identified that the GP had seen the resident three-monthly and the medication chart was signed each time a medicine was administered by staff.  A senior caregiver  was observed administering medications and followed correct procedures.  </w:t>
            </w:r>
          </w:p>
          <w:p w:rsidR="00EB7645" w:rsidRPr="00BE00C7" w:rsidP="00BE00C7">
            <w:pPr>
              <w:pStyle w:val="OutcomeDescription"/>
              <w:spacing w:before="120" w:after="120"/>
              <w:rPr>
                <w:rFonts w:cs="Arial"/>
                <w:b w:val="0"/>
                <w:lang w:eastAsia="en-NZ"/>
              </w:rPr>
            </w:pPr>
            <w:r w:rsidRPr="00BE00C7">
              <w:rPr>
                <w:rFonts w:cs="Arial"/>
                <w:b w:val="0"/>
                <w:lang w:eastAsia="en-NZ"/>
              </w:rPr>
              <w:t>Fridge and room temperatures are recorded and are within set temperature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cook all meals on site by one of  two cooks; one works four days and the other, three.  There is a kitchenhand on each morning shift.  There is also an afternoon cook who works 1200 - 1800.  All have current food safety certificates.  The head cook oversees the procurement of the food and management of the kitchen.  There is a well-equipped kitchen and meals are served directly from the kitchen to the dining room in bain maries.  Meals going to rooms on trays have covers to keep the food warm.  Special equipment such as lipped plates is available.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have been monitored and recorded daily.  Food temperatures are checked, and these were all within safe limits.  The food control plan has been verified until April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whiteboard.  The four-weekly menu cycle is approved by a contracted dietitian.  All residents and family members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 detail around support needs and provide guidelines for care.  Care plan sampled included  a resident with falls, a resident with a wound, a resident who required insulin / diabetes management,  a resident with weight loss and a resident who had mental health input into care.  All care plans reflected resident needs, this is an improvement from the previous audit.  Short-term care plans are in use for changes in health status.  There was evidence of service integration with documented input from a range of specialist care professionals including the podiatrist, wound care specialist and mental health care team for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care plans reviewed included interventions that reflected the resident’s current needs.  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staff interviewed.  Staff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one resident with a wound documented, there were no residents with a pressure injury.  A wound assessment, management plan  and regular evaluations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a range of equipment was readily available as needed including hoists and manual handling equipment. Caregivers reported that equipment was made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and examples sighted included (but not limited to), weight and vital signs, blood glucose, pain, food and fluid, turning charts and behaviour monitoring as required.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had an advanced directive in place with regard to resuscitation status as evidenced through five resident files reviewed plus to further (just for advanced directives).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who works four to five hours a day Monday to Friday, the activities coordinator (a non-practicing RN) described the service as ‘ one big happy family’.  There is a volunteer who comes in at weekends to play the piano.  The activities coordinator also leaves out games and puzzles.  On the days of audit residents were observed going for walks, listening to music and entertainers and playing games.</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on a whiteboard in the lounge.  Residents have the choice of a variety of activities in which to participate, and every effort is made to ensure activities are meaningful and tailored to residents’ needs.  These include exercises, games, quizzes, music and walks outside.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  The activities coordinator visits each room first thing each morning.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services are provided.  There are van outings weekly.  There are regular entertainers visiting the facility.  Special events like birthdays, Easter, Fathers’ Day, Anzac Day and Chinese New Year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two cats, ducks on the pond and the activities coordinator brings in miniature ponies and other animals to visit.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volunteers, schools, pre-schools, the RSA, a Kapa Haka group and the Wesley college cultural group.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monthly.  Residents stated the activity programme was varied and they enjoyed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care plans had been evaluated by the registered nurses six monthly or when changes to care occurs.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are three-monthly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24 May 2021.  The manager is in charge of all maintenance.  There is a preventative and reactive maintenance programme.  Contractors are used when required.  The gardener is contracted.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There are stand on scales.  Hot water temperatures have been monitored randomly in resident areas and were within the acceptable range.  There is a mixture of carpet and vinyl flooring throughout the rest home.  All corridors have safety rails and promote safe mobility with the use of mobility aids.  Residents were observed moving freely around the areas with mobility aids where required.  The external areas and gardens were well maintained.  There is a large pond and stream on the property, all safely fenced.  All outdoor deck and courtyard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Any resident who is suspected of having an infection is reviewed by a registered nurse and the general practitioner.  Specimens are taken as appropriate and sent to the laboratory and a record of this action is maintained in the resident’s clinical record.  Results are received, considered and documented.  The surveillance data is collected and analysed monthly to identify areas for improvement or corrective action requirements.  Trends are identified, and quality initiatives are discussed at staff meetings (minutes sighted).  The rest home has continued to maintain a low infection rate since the previous audit. There are handwashing facilities available for staff and paper towels are used. The GP reviews antibiotic use at least three-monthly with the medication review.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around Covid- 19 has been provided, including donning and doffing personal protective equipment (PPE).  The service had no admissions during lock down.  There is a Covid – 19 plan in place.  The service also ensured that the staff did not need to go to the supermarket as all their household food was ordered online for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There were no residents requiring the use of a restraint or an enabler at the time of audit.  Staff receive training around restraint minimisation.  All staff are aware that Lakeside Lodge aims to continue their restraint free status.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Lakeside Lodge Rest Home Limited - Lakeside Retirement Lodge</w:t>
    </w:r>
    <w:bookmarkEnd w:id="58"/>
    <w:r>
      <w:rPr>
        <w:rFonts w:cs="Arial"/>
        <w:sz w:val="16"/>
        <w:szCs w:val="20"/>
      </w:rPr>
      <w:tab/>
      <w:t xml:space="preserve">Date of Audit: </w:t>
    </w:r>
    <w:bookmarkStart w:id="59" w:name="AuditStartDate1"/>
    <w:r>
      <w:rPr>
        <w:rFonts w:cs="Arial"/>
        <w:sz w:val="16"/>
        <w:szCs w:val="20"/>
      </w:rPr>
      <w:t>5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