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Evelyn Page Retirement Village Limited - Evelyn Page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Evelyn Page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Evelyn Page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2020</w:t>
      </w:r>
      <w:bookmarkEnd w:id="7"/>
      <w:r w:rsidRPr="009418D4">
        <w:rPr>
          <w:rFonts w:cs="Arial"/>
        </w:rPr>
        <w:tab/>
        <w:t xml:space="preserve">End date: </w:t>
      </w:r>
      <w:bookmarkStart w:id="8" w:name="AuditEndDate"/>
      <w:r w:rsidR="00A4268A">
        <w:rPr>
          <w:rFonts w:cs="Arial"/>
        </w:rPr>
        <w:t>20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Ryman Evelyn Page provides rest home, hospital (geriatric and medical) and dementia level care for up to 147 residents.  On the day of audit there were 123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There are quality systems and processes being implemented.  Feedback from residents and families was very positive about the care and services provided.  An induction and in-service training programme are in place to provide staff with appropriate knowledge and skills to deliver care.</w:t>
      </w:r>
    </w:p>
    <w:p w:rsidRPr="00A4268A">
      <w:pPr>
        <w:spacing w:before="240" w:line="276" w:lineRule="auto"/>
        <w:rPr>
          <w:rFonts w:eastAsia="Calibri"/>
        </w:rPr>
      </w:pPr>
      <w:r w:rsidRPr="00A4268A">
        <w:rPr>
          <w:rFonts w:eastAsia="Calibri"/>
        </w:rPr>
        <w:t xml:space="preserve">This certification audit identified an improvement required in relation to neurological observations.  </w:t>
      </w:r>
    </w:p>
    <w:p w:rsidRPr="00A4268A">
      <w:pPr>
        <w:spacing w:before="240" w:line="276" w:lineRule="auto"/>
        <w:rPr>
          <w:rFonts w:eastAsia="Calibri"/>
        </w:rPr>
      </w:pPr>
      <w:r w:rsidRPr="00A4268A">
        <w:rPr>
          <w:rFonts w:eastAsia="Calibri"/>
        </w:rPr>
        <w:t>There is one continuous improvement awarded around pressure injury prevention.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timeframes determined by HDC</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clinical manager and unit coordinators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Quality and risk management programmes are being implemented.  Corrective action or quality improvement plans are established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Nursing cover is provided seven days a week and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activity coordinators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Residents were satisfied with the meals and commented positively on the standard of the meals provided.  There are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 person on duty at all times with first aid training.  </w:t>
      </w:r>
    </w:p>
    <w:p w:rsidRPr="00A4268A">
      <w:pPr>
        <w:spacing w:before="240" w:line="276" w:lineRule="auto"/>
        <w:rPr>
          <w:rFonts w:eastAsia="Calibri"/>
        </w:rPr>
      </w:pPr>
      <w:r w:rsidRPr="00A4268A">
        <w:rPr>
          <w:rFonts w:eastAsia="Calibri"/>
        </w:rPr>
        <w:t>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by the restraint coordinator.  During the audit fourteen residents were using restraints and three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coordinator has completed training in 2020.  The infection control manual outlines a comprehensive range of policies, standards and guidelines, training and education of staff and scope of the programme.  Information obtained through surveillance is used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  There has been one outbreak since the last audit with this managed with support from relevant external providers.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6"/>
        <w:gridCol w:w="1280"/>
        <w:gridCol w:w="91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Health and Disability Commissioner (HDC) Code of Health and Disability Services Consumers’ Rights (the Code)).  Families and residents are provided with information on admission, which includes information on the Code.  Staff receive training about resident rights at orientation and as part of their annual in-service programme and competency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24 staff (seven caregivers on the am, pm and night shifts [one serviced apartment, two dementia unit, four rest home/hospital]); seven nursing staff (three-unit coordinators/registered nurses [RNs], and four RNs); one head chef and four kitchen staff; two laundry, one health and safety officer and two activity coordinators, confirmed their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provide examples of how the Code applies to their job role and responsibilities.  Nine residents (six rest home including one serviced apartment and three hospital) and 12 relatives (one rest home, eight hospital and three dementia) interviewed confirmed that staff uphold the rights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consents were viewed for wound photographs and influenza vaccines.  Twelve resident files reviewed (three rest home including one resident in a serviced apartment, five hospital level of care residents including one using respite care, and four two dementia level of care residents) included written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and/or resuscitation status are signed for separately by the competent resident.  Where the resident is unable to decide, the GP makes a medically indicated not for resuscitation order in consultation with the enduring power of attorney (EPOA).  The EPOA for the four-dementia level of care residents had been activated.  Copies of EPOA and activation status are available in the resident’s file.  Caregivers and registered nurses (RN) interviewed confirmed verbal consent is obtained when delivering cares.  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the residents including the resident using respite reviewed had been signed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family confirmed the service provides opportunities for the family/EPOA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open visiting.  Visitors were observed coming and going during the audit.  The activities programme includes opportunities to attend events outside of the facility.  Residents are assisted to meet responsibilities and obligations as citizens, for example, voting and completion of the census.  Residents are supported and encouraged to remain actively involved in community and external groups.  Families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and on noticeboards.  Interviews with residents and family members confirmed their understanding of the complaints process.  Complainants are provided with information on how to escalate their complaint if resolution is not to their satisfaction.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in place.  The following complaints are documented as having been received in 2020:  a total of five (two lodged from residents or family from the hospital and three from the dementia unit).  These complaints were investigated and resolved within timeframes determined by the Health and Disability Commissioner.  There is evidence of the themes from the complaints discussed in staff and management meetings with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risk management system.  All complaints are identified as being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from the Health and Disability Commission or other external providers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Aspects of the Code are discussed during the admission process with the village and/or clinical manager.  Residents and relatives interviewed confirmed that information had been provided to them about the Code.  Large print posters of the Code and advocacy information are visually displayed throughout the facility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and closing doors while cares were being given.  Staff interviewed were able to define abuse and neglect and its application to an aged care environment.  Residents and relatives interviewed confirmed that staff respected resident privacy.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Residents’ preferences are identified during the admission and care planning process and this includes family involvement.  Interviews with residents confirmed their values and beliefs were considered.  Interviews with caregivers described how choice is incorporated into resident care provision particularly in the dementia unit. Examples of giving choice were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Instructions provided to residents on entry regarding responsibilities of personal belongings is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implemented a Māori health plan.  The service has links with Silverdale marae and Orewa College kapahaka group. Staff have attended training on the marae which has supported their understanding of working with Maori.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resident’s care plan.  At the time of the audit, no residents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are invited to be involved.  Individual beliefs and values are also discussed and incorporated into the resident’s care plan.  Six monthly multi-disciplinary team meetings occur to assess if needs are being met.  Family are invited to attend.  Discussions with residents and family confirmed that residents’ values and beliefs are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the role and responsibilities of the position. The monthly full facility meetings include discussions on professional boundaries and concerns as they arise.  Interviews with managers (village manager, clinical manger, assistant to the manager, regional manager) and staff, confirmed their awareness of professional boundaries.  Forty-nine staff have completed training on unconscious bias in February 2020 and 87 staff have completed training around bullying and wellbeing in August 2020. There were no incidents or complaints identified since the last audit around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for each service level.  It is reported through to Ryman Christchurch for collating, monitoring, and benchmarking between facilities.  Indicators include resident incidents by type, resident infections by type, staff incidents or injuries by type.  Feedback is provided to staff.  Quality improvement plans (QIPs) are developed where results do not meet acceptable targets.  Work continues around reducing workplace injuries by 10%, as compared to 2019; to improve the knowledge of RN’s in identified areas; and to provide a greater range of activities for residents in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A recent staff satisfaction survey reflected a ranking of 6 out of a total of 34 care centres with a 94% response rate.  This positive outcome has been shared with the staff and the residents.  Areas highlighted as strengths included: keeping people safe and well at work; person they report to is approachable; they were informed about Ryman’s Covid 19 response plan, there is an organisational commitment to staff general wellbeing.  A resident satisfaction survey has not been completed yet.  Courtesy calls were recently undertaken with positive results and feedback.</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resident information (e.g., care plans, monitoring charts) have been implemented that allow for one-on-one time with residents and less paper-based documentation.  Interventions (e.g., weight management, falls management strategies, pain management, neurological observations, behaviour management) documented on myRyman are reviewed by a registered nurse.  MyRyman care plans provide evidence to indicate when cares are being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or nurse practitioner visits the facility three times a week with 24/7 on-call services.  Physiotherapy services are provided five days a week for a total of 20 hours.  In the selection of resident files reviewed, care plans reflected input from physiotherapists, dietitians, and podiatrists.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has introduced a ‘stop and think’ employee campaign using ‘step-back’ cards.  Staff are involved in identifying risks and hazard controls.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the incident reporting policy which outlines responsibilities around open disclosure and communication.  Staff are required to record family notification when entering an incident into the database.  Twelve adverse events reviewed met this requirement.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nine residents interviewed raised individual issues related to staff directing their care and choice.  One of the 12 relatives interviewed also expressed some concerns related to staff attitude.  On the whole however, residents and family are very satisfied with all aspects of service delivery and the positive feedback outweighed the small proportion of concerns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Evelyn Page is a Ryman retirement village located in Orewa.  The service is certified to provide rest home, hospital (geriatric and medical) and dementia level care in their care centre for up to 117 residents.  In addition, there are 30 serviced apartments certified to provide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40 dual-purpose beds on the ground level, 40 dual purpose beds on level one and 30 serviced apartments (only able to take rest home residents) with a total of 25 residents requiring rest home level of care (including seven in the serviced apartments requiring rest home level of care) and 62 requiring hospital level of care. There are two secure care (dementia) units (19 bed and 18 bed unit) with 36 occupied beds on the day of audit.  There are two residents using respite level of care (one requiring hospital level of care and one rest home resident).  There is one resident who is under 65 years of age (on a ‘of like and interest’ contract) in the secure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Organisational objectives are documented with evidence of monthly reviews and quarterly reporting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two years aged care experience, three years’ experience in management prior to this in education, has a master’s Advanced Leadership Practice, and educational management employed by Ryman since August 2018.  She has previous managerial experience and has recently completed a master’s degree in leadership and has attended over eight hours of professional development activities related to managing an aged care facility within the past 12 months.  The village manager is supported by a regional manager, an assistant manager, and a clinical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specific to Evelyn Page.  Each objective includes an action place and person(s) responsible.  There are specific projects with action plans related to a focus on reducing staff injuries, increasing registered nurse knowledge on specific areas, improving the activities programme and encouragement for staff to multi-skill.  Details of progress is reported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assumes responsibility during the temporary absence of the village manager with additional support provided by the regional manager (registered nurse and village manager at another site).  The unit coordinators (UCs) are responsible for clinical operations during the temporary absence of the clinical manager. The clinical manager is a registered nurse with 14 years’ experience in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that is directed by head office (Ryman Christchurch) is established and implemented.  Quality and risk performance is reported across the facility meetings and also to the organisation’s management team.  Discussions with managers and staff, and the review of meeting minutes demonstrated the collective involvement of managers and staff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for each service level and relative meetings are scheduled six-monthly.  The village manager attends the meetings, and minutes are maintained.  Resident and relative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intended to be used for service improvements.  Results are communicated to staff across a variety of meetings including (but not limited to) monthly staff, registered nurse, management, health and safety meetings and three-monthly caregiver meetings.  The internal audit programme is followed as per the schedule.  Quality improvement plans are documented when issues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completed. The relative survey for the care centre completed in October 2020 showed the lowest scores being around food and linen. The care centre resident survey completed in June 2020 had a net promoter score of five (down by 28). Improvements required to food have resulted in a corrective action plan being put in place with actions already showing satisfaction from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Meetings are held monthly with infection control meetings held bimonthly.  Health and safety data is tabled at staff and management meetings.  The health and safety officer (activities coordinator) interviewed was able to describe their role as per policy and three caregivers interviewed stated that they had seen the health and safety officer regularly completing site tours to look for any issues. There are procedures to guide staff in managing clinical and non-clinical emergencies.  The service documents and analyses incidents/accidents, unplanned or untoward events and provides feedback to the service and staff.  A review of the risk register and the maintenance register indicated that there is resolution of issues identified.  All new staff and contractors are inducted to health and safety processes.  There is also annual in-service training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falls are monitored monthly with strategies implemented to reduce the number of falls with a range of examples provided (e.g., providing falls prevention training for staff; ensuring adequate supervision of residents; encouraging resident participation in the activities programme; physiotherapy assessments for all residents during their entry to the service and for all residents who have had a fall; routine checks of all residents specific to each resident’s needs (intentional rounding); the use of sensor mats and night lights; and increased staff awareness of residents who are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using VCare for each incident/accident with immediate action(s) and any follow-up action required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16 incident/accident reports (including witnessed and unwitnessed falls, skin tear, challenging behaviour) included follow-up by a registered nurse.  There was inconsistent evidence of timely neurological observations if there is a suspected injury to the head or an unwitnessed fall (link 1.3.6.1).  </w:t>
            </w:r>
          </w:p>
          <w:p w:rsidR="00EB7645" w:rsidRPr="00BE00C7" w:rsidP="00BE00C7">
            <w:pPr>
              <w:pStyle w:val="OutcomeDescription"/>
              <w:spacing w:before="120" w:after="120"/>
              <w:rPr>
                <w:rFonts w:cs="Arial"/>
                <w:b w:val="0"/>
                <w:lang w:eastAsia="en-NZ"/>
              </w:rPr>
            </w:pPr>
            <w:r w:rsidRPr="00BE00C7">
              <w:rPr>
                <w:rFonts w:cs="Arial"/>
                <w:b w:val="0"/>
                <w:lang w:eastAsia="en-NZ"/>
              </w:rPr>
              <w:t>The managers and unit coordinators are involved in the adverse event process via regular management meetings and informal meetings during the week that provide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situations would be reported to statutory authorities. Two Section 31’s have been lodged with the Ministry of health since the last audit. One was for a missing resident and one was for a sudden death when the GP did not in the death certificate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(HR)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There are 146 staff employed in the service. Thirteen staff files were selected for review (five caregivers, one clinical manager, two-unit coordinators, one head chef, three RNs, one activities coordinator).  Each file included an application form and two reference checks, a signed employment contract, job description, police check, and completed orientation programme.  All files reviewed also included an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current practising certificates are held on site.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The general orientation programme that is attended by all staff covers Ryman’s commitment to quality, code of conduct, staff obligations,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RNs are supported to maintain their professional competency.  Eight of 19 RNs have completed their interRAI training.  A minimum of one staff holding a current CPR/first aid certificate is available 24/7 at the care facility and on outings. There are implemented competencies for RNs and caregivers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26 HCAs who have completed their unit standards in dementia; 11 who have completed a national certificate core competency or foundations or residential; and 23 HCAs who have level 7 – diploma in health services management. Staff who work in the dementia unit have completed the relevant dementia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(Monday – Friday), assistant to the manager and clinical manager (Tuesday –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four-unit coordinators (one hospital/RN, one rest home/RN, one dementia/RN, one serviced apartments/overseas RN) work full time.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ground floor (19 rest home, 22 hospital): one registered nurse in the morning, afternoon, and night; six caregivers (including three on a short shift) in the morning and five in the afternoon (including two short shift) with two caregivers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Hospital/rest home (level one- 40 hospital residents): two RNs in the morning and afternoon and one overnight; eight caregivers in the morning (four short shift); six caregivers (four short shift in the afternoon; and three caregivers overnight. There is also a staff member from Monday to Sunday (0930AM-1PM) who gives out fluids and helps with mealtimes and a lounge carer in the afternoon from 4PM-8PM.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units (18 residents in each unit): There are two RNs in the morning (one in each unit) and one in the afternoon (across the two units); four caregivers (three long shift and one short) in the morning; one registered nurse in the afternoon with four caregivers (two caregivers from 3PM-9PM, one from 4PM-9PM and one long shift) and one lounge carer; and one senior caregiver and two caregivers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rest home residents in serviced apartments).  There is a minimum of one senior caregiver on duty in the serviced apartments during the night shift, with additional staffing on the morning and afternoon shifts.  Staffing throughout the facility meets contractual requirements and is adjusted based on the number of residents and their acuity.  </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during the audit and were attending to call bells in a timely manner, as confirmed by all residents and families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unit coordinators manage the on-call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(hard copy and electronic) is protected from unauthorised access.  Entries are legible, dated and signed by the relevant care staff or registered staff, including their designation.  Residents’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Family members and residents interviewed state that they have received the information pack and have received sufficient information prior to and on entry to the service.  Specific information about the dementia unit (SCU) is provided to families.  Family members report that the village manager or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One file reviewed was of a resident who had been transferred to hospital acutely post fall.  All appropriate documentation and communication had been completed.  Transfer to the hospital and back to the facility post-discharge, is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Twenty-five medication files were sampled (six rest home, eleven hospital and eight dementia level of care).  The medication management policies comply with medication legislation and guidelines.  All required medication checks have been completed.  Resident’s medicines are appropriately and securely stored in accordance with relevant guidelines and legislation.  Medication fridge and room temperature checks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the medication rounds sighted.  Registered nurses and medication competent caregivers administer medicines.  All staff administering medicines have received medication management training and successfully completed a medication competency which is reviewed annually.  The facility uses a blister packed medication management system for the packaging of all tablets.  Registered nurses reconcile the delivery of new medication and document this in the electronic medical system.  There is evidence of three-monthly reviews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managed by the village head chef and a sous chef who oversee the kitchen team in the preparation and cooking of meals.  The service has a food control plan.  A four-weekly seasonal menu is implemented.  A dietitian has reviewed and approved the menu.  All residents have their dietary requirements and/or preferences documented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copy of each resident’s dietary requirements that include likes/dislikes and regularly visits residents on each floor to seek feedback.  </w:t>
            </w:r>
          </w:p>
          <w:p w:rsidR="00EB7645" w:rsidRPr="00BE00C7" w:rsidP="00BE00C7">
            <w:pPr>
              <w:pStyle w:val="OutcomeDescription"/>
              <w:spacing w:before="120" w:after="120"/>
              <w:rPr>
                <w:rFonts w:cs="Arial"/>
                <w:b w:val="0"/>
                <w:lang w:eastAsia="en-NZ"/>
              </w:rPr>
            </w:pPr>
            <w:r w:rsidRPr="00BE00C7">
              <w:rPr>
                <w:rFonts w:cs="Arial"/>
                <w:b w:val="0"/>
                <w:lang w:eastAsia="en-NZ"/>
              </w:rPr>
              <w:t>Alternatives food choices are offered and provided as needed.  There is evidence of modified diets being provided (e.g. pureed menu) and further nutritional supplements.  There is snacks available for dementia residents, confirmed at staff interviews.  Availability of extra snacks and meals outside of normal mealtimes was confirmed by a relative during interview.</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 likes/dislikes are accommodated and expressed their satisfaction with the food service.  Fridge and freezer temperatures are recorded daily.  Perishable foods in the refrigerators are date-labelled and stored correctly.  The kitchen is clean and has a good workflow.  Chemicals are stored safely, and safety datasheets are available.  Personal protective equipment is readily available, and staff were observed to be wearing hats, aprons and gloves.  All kitchen staff have received appropriate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If a potential admission was declined entry, the consumer and where appropriate their family/whanau member of choice, is informed of the reason for the decline and advised to contact the needs assessment service ( NASC).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interRAI assessments and reviews are evident in printed format in all resident files.  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care plans in myRyman are personalised and describe the resident’s goals, supports and interventions required to meet those desired goals, as identified during the ongoing assessment process.  The care plan acknowledgement form evidence resident and/or family input ensuring a resident focused approach to care.  Residents confirmed on interview that they and their families are involved in the care planning and review process.  There is evidence of allied health care professionals involved in the care of the resident.  All long-term care plans sampled have been reviewed and updated in a timely manner following a change in need.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detailed on myRyman and report progress against the care plan each shift at handover.  If external nursing or allied health advice is required the RNs will initiate a referral (e.g., to the dietician, physiotherapist or wound care specialist nurse).  If external medical advice is required, this will be actioned by the GPs.  Staff have access to sufficient medical supplies (e.g., dressings).  Continence products are available and resident files include a three-day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treatment and wound management plans are completed for all wounds.  On the day of audit there were fourteen wounds.  These included: four skin tears, two ulcers, one laceration, six abrasions and one surgical wound.  All wounds have been reviewed within appropriate timeframes.  All wounds evidence progress towards healing with the exception one of the chronic ulcers.  Wound nurse champion and GP input is evidenced for all wounds, with referral to other allied health professional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GP was positive regarding the service, the staff and the clinical interventions.  The GP described Evelyn Page’s involvement with advanced care planning, linking with the hospice.  The DHB/ hospice initiative is a service that is developed with the residents prior to the palliative phase.  Its aim is to ensure all vital services, and resources are in place and residents and their families are well prepared.  The GP praised Evelyn Page’s proactive involvement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Monitoring charts sighted included behaviour charts, turning charts,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expected to be taken for all unwitnessed falls within the timeframes outlined by Ryman policy, however this was not always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activity programme confirms that independence is encouraged, and choices are offered to residents.  Three activity coordinators at Evelyn Page deliver the programme.  One is a qualified diversional therapist, and one is about to commence diversional therapy training. The programme runs over seven days per week.  A wide range of activities which support the abilities and needs of residents in the facility are provided with each floor of the building having its own monthly activities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On admission, an activity coordinator completes an assessment for each resident and a resident life experiences form which are utilised as part of the care planning process.  A record is kept of individual resident’s activities and progress notes are completed monthly.  Reviews are conducted six-monthly (or earlier should the residents condition change) as part of the care plan evaluation/review.  In the dementia files reviewed, residents have an activity plan that document activities that can be utilised to de-escalate challenging behaviours, which are specific to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 they enjoy the variety of activities and are very satisfied with the activities programme.  Activities include outings as well as community involvement. </w:t>
            </w:r>
          </w:p>
          <w:p w:rsidR="00EB7645" w:rsidRPr="00BE00C7" w:rsidP="00BE00C7">
            <w:pPr>
              <w:pStyle w:val="OutcomeDescription"/>
              <w:spacing w:before="120" w:after="120"/>
              <w:rPr>
                <w:rFonts w:cs="Arial"/>
                <w:b w:val="0"/>
                <w:lang w:eastAsia="en-NZ"/>
              </w:rPr>
            </w:pPr>
            <w:r w:rsidRPr="00BE00C7">
              <w:rPr>
                <w:rFonts w:cs="Arial"/>
                <w:b w:val="0"/>
                <w:lang w:eastAsia="en-NZ"/>
              </w:rPr>
              <w:t>A monthly meeting is held where residents and relatives have input.  Minutes are recorded at the meeting and quality improvements identified and feedback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have been evaluated six-monthly by a registered nurse.  Care plans are evaluated to record progress towards achievement of the desired goals.  Acute care needs are documented in myRyman and evaluated as needed.  The six-monthly multidisciplinary review involves the RN, GP, activities staff, physiotherapist (if involved) and resident/family.  The family are invited to discuss the outcome of the review, and if unable to attend, they receive a copy of the reviewed plans.  There is at least a three-monthly review by the medical practitioner.  The family members interviewed confirm they are invited to attend the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unit coordinator interviewed gave examples of where a resident’s condition had changed, and the resident had been reassessed for a higher or different level of care.  Discussion with the unit coordinators and registered nurses identified that the service has access to a wide range of support either through the GP, Mental Health of Older Persons Services, geriatrician and hospice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service levels across three floors. The serviced apartments are accessed from the ground floor.  There are multiple lifts and stairs access between the levels and secure entrance and exits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6 December 2021.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two maintenance staff (full-time and on-call) and gardens and grounds staff.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in resident areas are monitored.  Temperature recordings reviewed were between 43-45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safely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accessing the outdoor gardens and courtyards.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dementia care units include an open plan dining/lounge area.  There is a partitioner between the two-unit lounges that can be open for joint activities.  There is free and safe access to an outdoor deck area with raised gardens,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appropriate size in all areas to allow care to be provided and for the safe use and manoeuvring of mobility aids.  Mobility aids can be managed in ensuites. Bedrooms are personalized.  Bedroom doors in the dementia unit have door photographs to aid resident identification of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small kitchen and dining area.  Large lounges have seating placed to allow for individual or group activities.  There is a smaller lounge/library area and seating alcoves in the hospital and other areas.  The communal areas are easily accessible.  The dementia care units have spacious open plan dining/lounge areas with seating placed appropriately to allow for low stimulus, small group and individual activities.  There is a smaller family/whānau lounge for quiet activities or family visits.  The communal areas in the dementia unit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of the cleaning and laundry service.  Laundry and cleaning audits were completed as per the internal audit programme.  All linen and personal clothing is laundered on-site.  The laundry had an entry and exit door with defined clean/dirty areas.  There are multiple areas for storing cleaning equipment.  There are dedicated cleaning and laundry persons on duty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secure areas for the storage of cleaning and laundry chemicals for the laundry on each floor.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interviewed reported increased satisfaction with the laundry service.  The service was observed to be clean and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The facility has an approved fire evacuation plan and fire dills take place six monthly.  Smoke alarms, sprinkler system and exit signs are in place.  Emergency lighting and cooking facilities are in place.  There are civil defence kits in the facility and stored water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evident in resident’s rooms, lounge areas, and toilets/bathrooms.  Serviced apartments have a call bell system, which is linked to staff pagers.  Staff advise that they conduct security checks at night, in addition to an external contractor.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ventilated and heated, with under floor heating.  All resident rooms on the external sides of the building and on level three have a window to the outside. Resident rooms on the inside have a window opening into the large atrium.  The atrium provides natural light through the glass roof. Two residents, (including one in a corner room with foliage outside the room window) in the internal rooms sated they are very happy with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Responsibility for oversight of infection control across the facility is the responsibility of a registered nurse (interRAI trained). The RN has been in the role for two years (10 years at Evelyn Page as a registered nurse) and was able to describe the role as per the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meet two monthly and comprise of a cross section of staff.  The infection control coordinators provide monthly reports to head office and to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set out annually from head office and directed via the quality programme.  The programme is reviewed annually, and a six-month analysis is completed by the infection control coordinator and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complete an electronic health declaration which also serves as contact tracing.  Residents and staff are offered the annual influenza vaccine.  All staff are now asked to have an influenza vaccine prior to commencing work at Ryman as part of the Ryman initiative against Covid 19.  Residents transferring from hospital or the community are placed in isolation for 14 days.  There are adequate hand sanitisers and signage throughout the facility.  There is an outbreak management bin and plentiful stock of personal protective equipment (PPE) that is checked weekly. There is sufficient PPE to last at least for two weeks.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completed the infection control induction on appointment to the roles and attended an annual external education programme (March 2020) with a microbiologist via teleconferencing.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There is resource information and plans around preparing for and managing Covid 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coordinating/providing education and training to staff.  The orientation/induction package includes specific training around hand hygiene and standard precautions, and training is provided both at orientation and as part of the annual training schedule.  All staff complete hand hygiene audits six monthly. In-services have been provided around personal protective equipment and outbreak management.  Infection control is an agenda item on the full facility and clinical meeting agenda.  An additional competency has been added to the training schedule on personal protective equipment.  Staff are also required to complete a self-directed or on-site session on Covid 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coordinators complete a monthly report.  Monthly data is reported to the infection control committee with trends analysed and analysis of data for each area. Meeting minutes are available to staff.  Staff are informed of surveillance through the variety of clinical meetings held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Benchmarking against other Ryman facilities occur.  Quality improvements are commenced for any areas identified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in June 2019. Appropriate external providers were notified including the GP and public health services, and the outbreak contained to a small number of residents and staff. Data was reviewed and any opportunities for improvement considered in a review of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eight hospital level residents with restraint (chair briefs and bedrails) and six residents at rest home level with restraint ( chair briefs and bedrails).  There were three residents with an enabler: two in the rest home and one in the hospital- all bedrails.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file for two hospital level residents using restraint and one hospital level resident using an enabler were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evidenced in the residents’ files reviewed.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Consistent evidence to verify one and two hourly checks were evidenced on the monitoring forms of the two restraint resident files reviewed.  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two residents’ files where restraint was in use.  The restraint coordinator reported that restraint use is also discussed monthly in the restraint meeting.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1"/>
        <w:gridCol w:w="1280"/>
        <w:gridCol w:w="3638"/>
        <w:gridCol w:w="4231"/>
        <w:gridCol w:w="14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documented intentional rounding and RN follow up, however neurological observations were not consistently carried out according to the Ryman policy timescales.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incident forms were reviewed.  Seven incidents required neurological observations.  Out of the seven, six incidents did not have neurological observations completed as per Ryman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neurological observations as per Ryman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1114"/>
        <w:gridCol w:w="10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maintain clinical care that has resulted in no facility acquired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pressure injuries in the service.  Staff have implemented a number of ongoing strategies that include intentional rounding for residents identified as being at risk of having a pressure injury; use of the Waterlow assessment tool on admission and as required. Residents skin is inspected daily when daily cares are provided. Care staff have received ongoing education around assessment of skin, adequate hydration, and pressure minimisation. The nutritional status of each resident is monitored with referral to a dietician if a resident is identified as having weight loss (2.2kgs or more), at risk of pressure injuries, or if there is gradual weight loss which could increase the risk of pressure injuries. Moisturisers are used daily or more frequently if required. There is evidence of proactive and skin changes are referred to the registered nurse for assessment and monitored by the wound care champion.  One resident who was interviewed stated that the clinical manager had sighted specific areas of concerns at least daily to check for changes or potential pressure injuries.  Trends are analysed with data for Evelyn Page benchmarked against Ryman facilities.  The service remains in the lower 10 percentile of the Ryman group average for facility acquired pressure injuries.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Evelyn Page Retirement Village Limited - Evelyn Page Retirement Village</w:t>
    </w:r>
    <w:bookmarkEnd w:id="58"/>
    <w:r>
      <w:rPr>
        <w:rFonts w:cs="Arial"/>
        <w:sz w:val="16"/>
        <w:szCs w:val="20"/>
      </w:rPr>
      <w:tab/>
      <w:t xml:space="preserve">Date of Audit: </w:t>
    </w:r>
    <w:bookmarkStart w:id="59" w:name="AuditStartDate1"/>
    <w:r>
      <w:rPr>
        <w:rFonts w:cs="Arial"/>
        <w:sz w:val="16"/>
        <w:szCs w:val="20"/>
      </w:rPr>
      <w:t>19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