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Malvina Major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Malvina Major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Malvina Major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2020</w:t>
      </w:r>
      <w:bookmarkEnd w:id="7"/>
      <w:r w:rsidRPr="009418D4">
        <w:rPr>
          <w:rFonts w:cs="Arial"/>
        </w:rPr>
        <w:tab/>
        <w:t xml:space="preserve">End date: </w:t>
      </w:r>
      <w:bookmarkStart w:id="8" w:name="AuditEndDate"/>
      <w:r w:rsidR="00A4268A">
        <w:rPr>
          <w:rFonts w:cs="Arial"/>
        </w:rPr>
        <w:t>30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Malvina Major facility is part of the Ryman group providing care for up to 116 residents in the care centre and up to 20 residents at rest home level in serviced apartments.  On the day of audit, there were 116 residents including one resident in the serviced apartments.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village manager is supported by a resident services manager and clinical manager.  The management team is supported by the Ryman management team including regional manager.</w:t>
      </w:r>
    </w:p>
    <w:p w:rsidRPr="00A4268A">
      <w:pPr>
        <w:spacing w:before="240" w:line="276" w:lineRule="auto"/>
        <w:rPr>
          <w:rFonts w:eastAsia="Calibri"/>
        </w:rPr>
      </w:pPr>
      <w:r w:rsidRPr="00A4268A">
        <w:rPr>
          <w:rFonts w:eastAsia="Calibri"/>
        </w:rPr>
        <w:t>There is a fully implemented quality system in place. Residents, relatives and the GP interviewed spoke positively about the service provided.</w:t>
      </w:r>
    </w:p>
    <w:p w:rsidRPr="00A4268A">
      <w:pPr>
        <w:spacing w:before="240" w:line="276" w:lineRule="auto"/>
        <w:rPr>
          <w:rFonts w:eastAsia="Calibri"/>
        </w:rPr>
      </w:pPr>
      <w:r w:rsidRPr="00A4268A">
        <w:rPr>
          <w:rFonts w:eastAsia="Calibri"/>
        </w:rPr>
        <w:t>The service has fully met the standards reviewed as part of this audit.</w:t>
      </w:r>
    </w:p>
    <w:p w:rsidRPr="00A4268A">
      <w:pPr>
        <w:spacing w:before="240" w:line="276" w:lineRule="auto"/>
        <w:rPr>
          <w:rFonts w:eastAsia="Calibri"/>
        </w:rPr>
      </w:pPr>
      <w:r w:rsidRPr="00A4268A">
        <w:rPr>
          <w:rFonts w:eastAsia="Calibri"/>
        </w:rPr>
        <w:t>The service is commended for achieving continued continuous improvement ratings around: reduction of challenging behaviours, and  food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Written information regarding consumers’ rights is provided to residents and families.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A village manager, resident services manager and clinical manager are responsible for the day-to-day operations.  Goals are documented for the service with evidence of regular reviews.  Malvina Major continues to implement the quality and risk management system that is directed by Ryman Christchurch.  Quality and risk performance is reported across the various facility meetings and to the organisation's management team.  Malvina Major provides clinical indicator data for the two services being provided (hospital and rest home).  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Initial assessments, risk assessments, interRAI assessments and development of care plans in consultation with the resident/relatives.  Care plans demonstrate service integration, are individualised and evaluated six-monthly.  Documented interventions are implemented to support the resident individual needs.  The general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 hospital and serviced apartments to ensures the abilities and recreational needs of the residents is varied, interesting and involves entertainers, outings and community visitors.  Each resident has access to an individual and group activities programme.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All meals and baking are done on-site by qualified chefs.  The menu provides choices and accommodates resident preferences and dislikes.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preventative and planned maintenance schedule in place.     </w:t>
      </w:r>
    </w:p>
    <w:p w:rsidRPr="00A4268A">
      <w:pPr>
        <w:spacing w:before="240" w:line="276" w:lineRule="auto"/>
        <w:rPr>
          <w:rFonts w:eastAsia="Calibri"/>
        </w:rPr>
      </w:pPr>
      <w:r w:rsidRPr="00A4268A">
        <w:rPr>
          <w:rFonts w:eastAsia="Calibri"/>
        </w:rPr>
        <w:t xml:space="preserve">There is an approved fire evacuation scheme.  There are six-monthly fire drills.  Staff have attended emergency and disaster management.  There is a first aider on-site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At the time of the audit, there were six residents with a restraint (all bed rails) and one resident using an enabler (bed rails).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 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visible at the entrance to the facility.   Information about complaints is provided on admission.  Interviews with two hospital level residents and three rest home residents and family, confirmed their understanding of the complaints process.  Six caregivers, two registered nurses (RNs) two unit coordinators (UC), one enrolled nurse (EN), two chefs, one diversional therapist (DT), a maintenance person and a house keeper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and complaints documented as discussed in management,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13 complaints logged for 2020 (verbal and written) including a complaint around alleged abuse.  The DHB have been informed regarding this complaint and a section 31 completed and sent.  All complaints reviewed included follow-up meetings and letters, resolutions were completed within the required timeframes as determined by the Health and Disability Commissioner.  Action plans have been documented (quality improvements plans- QIPs) and addition training implemented as needed for complaints.   The village manager monitors progress of implemented corrective actions with complainants, to ensure the complaints are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services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Three family members (all hospital level) interviewed stated they were well-informed.  Incident/accident documentation reviewed indicated that the next of kin are routinely contacted following an adverse event.  Two monthly resident meetings and six-monthly family meetings provide a forum for residents to discuss issues or concerns.  The most recent resident survey confirms that communication has improved from last year.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is a Ryman Healthcare retirement village.  The service provides rest home and hospital level of care for up to 136 residents in total, with 116 residents in the care centre and 20 serviced apartments certified as suitable to provide rest home level care.  There are 58 rest home beds on the first floor and 58 hospital beds on the second floor (all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116 residents in total, 115 residents in the care centre and one rest home level in the serviced apartments.  There were 60 rest home residents: including five residents on respite care (one funded through ACC) and one in the serviced apartments. There were 56 hospital level residents including two respite.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Annually quality objectives for 2020 include: improving customer experiences, reducing falls, as well as health and safety objectives, and clinical objectives.   Quality goals have been reviewed. A quality improvement plan register documented a number of initiatives and progress updates.  There is a comprehensive health and safety, and risk management programme being implemented at Malvina Major.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position since August 2020 and is a registered nurse with a current practising certificate.  The village manager was the clinical manager prior to this role.  He is supported by a clinical manager who has also been in the position since September. The clinical manager was the hospital unit manager prior to this role. A resident services manager completes the management team.  Management are supported by a hospital unit coordinator/RN, rest home unit coordinator/RN, serviced apartment unit coordinator/EN and a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attends the annual Ryman managers’ conference and manager forums, and the clinical manager has attended a Ryman leadership programme and clinical seminars.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continues to implement the Ryman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Minutes are maintained.  Annual resident and relative surveys are completed with results communicated to residents and staff.  The 2020 resident satisfaction survey reflected an overall improvement over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schedule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directed though the monthly team Ryman information sent from head office.  The facility has implemented processes to collect, analyse and evaluate data.  Data is then utilised for service improvements.  Quality improvement plans (QIP’s) are developed when service shortfalls are identified, and these are monitored by head office.  A continued continuous improvement is awarded around the management and reduction of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Risk management, hazard control and emergency policies and procedures are being implemented.  There are procedures to guide staff in managing clinical and non-clinical emergencies.  The service documents and analyses incidents/accidents, unplanned or untoward events and provides feedback so that improvements can be made.  Health and safety/ infection control meetings are conducted bimonthly.  Health and safety initiatives for staff are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individual and group exercise programmes; regular toileting; sensor mats; increased monitoring and identification and meeting of individual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Individual incident reports are completed electronically for each incident/accident with immediate action noted and any follow-up action required.  A review of incident/accidents forms for July 2018 identified that all are fully completed and include timely follow-up by a RN.  Neurological observations were completed for unwitnessed falls of for a suspected injury to the head.  The clinical manager is involved in the adverse event process, with links to the regular management meetings and informal meetings.  This provides the opportunity to review any incidents as they occur.  A review of trends evidenced that incidences of behaviours that challenge are below the Ryman group average. A QIP remains in process, Falls are above the Ryman group average, falls also have a QIP in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village manager was able to identify situations that would be reported to statutory authorities.  One section 31 notification report was sighted for a stage four pressure injury (non-facility acquired).  An outbreak in March 2020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Seven staff files reviewed (three registered nurses, three caregivers and one activities coordinator) included a signed contract, job description relevant to the staff members role, induction, application form and reference checks.  All files reviewed included annual performance appraisals with eight-week reviews completed for newly appointed staff.  A register of RN practising certificates is maintained.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the service has been very proactive around training for staff.  Staff training records are maintained.  The annual training programme exceeds eight hours annually.  Staff also complete annual competency questionnaires.  RNs are supported to maintain their professional competency.  Ten of twelve RNs have completed their interRAI training.  There are five RNs with PDRP qualifications (four proficient and one senior). RNs and ENs attend journal club.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RNs and caregivers related to specialised procedures or treatments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staff survey (April 2020) documented a high level of staff satisfaction. The satisfaction levels for staff have risen year on year and are higher than the Ryman average.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supports the requirements of skill mix, staffing ratios and rostering.  There is a RN and first aid trained member of staff on every shift.  Caregivers interviewed stated that management are supportive and approachable, and that there are sufficient staff on duty at all times.  The village manager and clinical manager both work 40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care unit, there were 57 of 58 rest home level residents in total and one in the serviced apartments .  On the morning shift: there is one unit-coordinator (RN) Monday to Friday.  There is one RN and six caregivers (three long and three short shifts).  On the afternoon shift, there is one RN, and four caregivers (two long and two short shifts), and on the night shift there are three caregivers with oversight from a hospital-based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58 of 58 residents in total (56 hospital level and two rest home level).  On morning shift there is a unit coordinator (RN), three RNs and twelve caregivers (six long and six short shifts) plus an addition carer 9 am to 1 pm ‘fluid assistant’.  On afternoon shift: there are three RNs and nine caregivers (four long and five short shifts), and on the night shift there is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20 serviced apartments certified to provide rest home level of care.  There was one rest home level resident living in serviced apartments at the time of the audit.  On morning shift there is a unit coordinator (EN) with oversite by the clinical manager and two caregivers plus a dining room assistant over lunch. There two caregivers on the afternoon shift one finishes at 7 pm and one at 9 pm.  The staff in the rest home wing provide cover for the late afternoon and night shift.  Interviews with residents and relatives confirmed that there are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(rest home, hospital and serviced apartments).  Registered nurses, enrolled nurses and senior caregiver’s complete annual medication competencies and education.  Registered nurses complete syringe driver training. Medication reconciliation of monthly blister packs and as required blister packs is checked by an RN with the signature on the back of the blister pack. Any errors are fed back to the pharmacy.  Hospital level impress medications are check regularly for stock level and expiry dates. Medication audits are completed.  There were three rest home level residents self-medicating with a self-medicating assessment in place that are reviewed three-monthly by the GP. The medication fridge temperatures are taken weekly.  Medication room air temperatures are taken and recorded daily and below 25 degrees Celsius.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Fourteen medication charts were reviewed (six hospital, eight rest home).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was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are prepared and cooked on-site.  The qualified chef (interviewed) is supported by a second chef and two kitchenhands each day with staggered start and finish times.  All food services staff have completed induction, food safety training and chemical safety.  Project “delicious” is a four weekly seasonal menu with three menu choices for the midday meal and two choices for the evening meal, including a vegetarian option and gluten free foods.  Pureed meals are provided. The seasonal menu has been designed in consultation with the dietitian at an organisational level.  The chef receives a resident dietary profile for all new admissions and is notified of any dietary changes including weight loss.  Cultural and religious dietary requirements are met.  Lip plates are available to encourage resident’s independence with meals.  All meals are plated in the kitchen and delivered to the units in scan boxes.  The chef visits the areas during mealtimes.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food control plan that expires January 2021.  Temperatures are taken and recorded for fridges, freezer, cooking, serving, cooling and incoming goods.  All foods were stored correctly, and date labelled.  The chemicals are stored safely, and the chemical provider conducts checks on the dishwasher regularly.  A cleaning schedule for kitchenhands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and direct contact with the food services staff.  Resident and relatives interviewed spoke positively about the choices and meals provided.  The service goal for 2020 is implementing a quality improvement plan around the quality of food and presentation of meals.   The 2020 survey demonstrated an increase in food satisfaction. The service maintains a continuous improvement rating for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When a resident's condition alters, the registered nurse initiates a review and if required a GP visit or nurse specialist consultant.  The care plans are updated with any changes to care and required health monitoring interventions for individual residents are scheduled on the RN or caregiver work log.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photos and evaluations were in place for 13 hospital residents with wounds (skin tears, chronic ulcers and surgical wound).  There were two rest home residents with wounds (skin tear and chronic leg ulcers).  There were two hospital residents with stage 1 facility acquired pressure injuries and one hospital resident with two suspected deep tissue pressure injuries on admission.  Section 31 notification was sighted.  There are two RN wound champions (rest home and hospital) who review all wounds weekly.  The wound champions have received wound care training from the clinical lead at head office and attend wound care webinars.  There is access to the DHB and district nurses. The district nurses have been involved in chronic wounds and the unstageable pressure injuries. The service has adequate pressure relieving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work log and used to monitor a resident’s progress against clinical/care interventions for identified concerns or problems. Monitoring forms reviewed on the electronic work logs included blood pressure, weights, blood sugar levels, pain, behaviour, repositioning charts, bowel records, food and fluids, intentional rounding and neurological observations  Intentional rounding is determined by the residents need including toileting, whereabouts of residents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team of and lifestyle coordinators including one diversional therapist to implement the Engage programme across the rest home, hospital and serviced apartments.  The programme is from Monday to Friday 9.30am to 4.30pm in the serviced apartments and rest home.  The rest home resident in the serviced apartments can choose to attend the serviced apartments or rest home activities.  The programme for the hospital from Monday to Sunday 9.30am to 4.30pm.  There is a lounge carer in the hospital from 4.30 to 8.30pm who are involved in activities.  There are plenty of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been implemented.  There are set activities with the flexibility for each service level to add activities that are meaningful and relevant for the residents cognitive and physical abilities.  Activities include group including (but not limited to); Triple A exercises, board games, news and views (combined rest home and hospital), make and create, memory lane, gardening, walks, happy hour entertainment in each area and sensory activities including pet therapy and one on one pampering.  Daily contact is made for residents who choose not to participate in group activities.  Church services are held in the reflections room.  Concerts are held in the atrium which hospital residents can enjoy from the seating area overlooking the atrium.  Volunteers from the townhouses are involved in activities and read poetry, news and views and one on one chats with residents.  The lifestyle coordinators have commenced two new activities “paint and sip” focusing on socialisation while painting and fish-n-chip quiz evenings with family invited.  Residents are encouraged to maintain community connections.  Themed events and festive occasions are celebrated.  There are twice weekly van outings, and the disability van is hired for hospital level residents.  The van driver (with first aid certification) and a carer go on outings.</w:t>
            </w:r>
          </w:p>
          <w:p w:rsidR="00EB7645" w:rsidRPr="00BE00C7" w:rsidP="00BE00C7">
            <w:pPr>
              <w:pStyle w:val="OutcomeDescription"/>
              <w:spacing w:before="120" w:after="120"/>
              <w:rPr>
                <w:rFonts w:cs="Arial"/>
                <w:b w:val="0"/>
                <w:lang w:eastAsia="en-NZ"/>
              </w:rPr>
            </w:pPr>
            <w:r w:rsidRPr="00BE00C7">
              <w:rPr>
                <w:rFonts w:cs="Arial"/>
                <w:b w:val="0"/>
                <w:lang w:eastAsia="en-NZ"/>
              </w:rPr>
              <w:t>Resident life experiences and an activity assessment is completed for residents on admission.  Activity attendance lists are maintained. The resident/family/whānau (as appropriate) are involved in the development of the activity plan. The activity plan is being transitioned over to the myRyman care plan and evaluated six-monthly with the MDT review.  Residents/relatives can feedback on the programme through the resident and relative meetings and surveys.  The February 2020 survey results showed an improvement in resident/relative satisfaction with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of five long-term residents who had been at the service six months identified that long-term care plans had been evaluated by registered nurses.  Two residents (one rest home and one hospital) had not been at the service six months.  Two residents were under respite care and were not required to have long-term care plans or evaluations. All long-term initial care plans had been evaluated at three weeks prior to the development of the long-term care plan. Care plans had been updated with any changes to health and care.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and any changes made on the care plan where goals have not been met.  A number of risk assessments (including interRAI) are completed in preparation for the six-monthly care plan review.  The multidisciplinary (MDT) review includes the RN, caregivers, DT, GP, physiotherapist, resident, relative and any other health professionals involved in the resident’s care. The family are notified of the outcome of the review if unable to attend.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The lead maintenance is supported by a village support person to assist with maintenance and setting up for village functions.  The resident services manager oversees maintenance.  The lead maintenance person (interviewed) has completed safe manual handling safety, first aid and scheduled health and safety training.  There is separate gardening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register held at reception for requesting day to day repairs.  There is a planned maintenance schedule which includes the calibration of medical equipment, functional testing of electrical equipment, call bell audits and hot water temperatures in resident areas.  Hot water temperatures in resident areas are stable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in the rest home and hospital units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outdoor areas safely or with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control officer completes a monthly report.  Monthly data is reported to the combined infection prevention and control/health and safety meetings.  Data is analysed for trends and corrective actions.  Staff are informed of infection control matters through the variety of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in March / April 2020 of flu like symptoms.  Relevant authorities were notified (sighted).  Daily case logs and correspondence were sighted.  Public health was informed, and the outbreak was managed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At the time of the audit, there were six residents with a restraint (all bed rails) and one resident using an enabler (bed rails).  The files for two residents using restraint and one with an enabler all reflected an assessment and consent.  Care plans reflected the restraint / enabler and the risks associated with its use. 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181"/>
        <w:gridCol w:w="89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continues to reduce the incidence of behaviours that challenge.  An ongoing quality improvement plan (QIP) is in place which documents ongoing, pro-active  staff training and service management to reduce behaviours that challenge.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QIP was implemented prior to the previous certification audit which included strategies and actions to reduce the number of incidents of challenging behaviour in the care centre.  The plan has continued to be reviewed monthly and discussed at clinical staff meetings.  Further strategies have been implemented when needed.  The service has been successful in continuing to reduce and better managing incidents of challenging behaviour within the care centre.  A review of the data since the previous audit has evidenced that the incidences of behaviours that challenge have continued to decrease and are now below the Ryman group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continuing to improve the meal service with an action plan in place to improve the quality of foods and presentation of meals.  The business plan identifies the quality improvement goal around meals.  The 2020 survey demonstrates and increase in resident/relative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services manager oversees the food service and has a background un hospitality.  The organisation has appointed a regional lead chef who visits the site and liaises with the head chef.  Fine dining is held monthly however the aim of the quality improvement project is that every meal is a “fine dining experience.”  To achieve this there has been a focus on quality foods and presentation of meals.  All staff have attended training on table settings, conversation, serving and hospitality during meals. There are menu meal presentation photos for chefs and the residents including placement of garnishes so that all meals are presented consistently.  The regional lead chef last reviewed the quality improvement plan in October 2020 and commented that; plating has improved, garnishes are used daily, the menu is followed, menu boards are clearly written and displayed and table settings are attractive with centre pieces as observed on the day of audit.  The 2020 food service survey demonstrated an improvement in meal services. Residents and relatives interviewed were satisfied with the meals, presentation and quality of foods.  The service has continued to improve the meal satisfaction.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Malvina Major Retirement Village Limited</w:t>
    </w:r>
    <w:bookmarkEnd w:id="58"/>
    <w:r>
      <w:rPr>
        <w:rFonts w:cs="Arial"/>
        <w:sz w:val="16"/>
        <w:szCs w:val="20"/>
      </w:rPr>
      <w:tab/>
      <w:t xml:space="preserve">Date of Audit: </w:t>
    </w:r>
    <w:bookmarkStart w:id="59" w:name="AuditStartDate1"/>
    <w:r>
      <w:rPr>
        <w:rFonts w:cs="Arial"/>
        <w:sz w:val="16"/>
        <w:szCs w:val="20"/>
      </w:rPr>
      <w:t>29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