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Edmund Hillary Retirement Village Limited - Edmund Hillary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Edmund Hillary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Edmund Hillary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December 2020</w:t>
      </w:r>
      <w:bookmarkEnd w:id="7"/>
      <w:r w:rsidRPr="009418D4">
        <w:rPr>
          <w:rFonts w:cs="Arial"/>
        </w:rPr>
        <w:tab/>
        <w:t xml:space="preserve">End date: </w:t>
      </w:r>
      <w:bookmarkStart w:id="8" w:name="AuditEndDate"/>
      <w:r w:rsidR="00A4268A">
        <w:rPr>
          <w:rFonts w:cs="Arial"/>
        </w:rPr>
        <w:t>9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Edmund Hillary is part of the Ryman Group of retirement villages and aged care facilities.  They provide rest home, dementia and hospital level care for up to 236 residents.  There were 192 residents at the time of the audit.  </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village manager is appropriately qualified and experienced and is supported by a resident services manager and a clinical manager.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The service continues to maintain continuous improvements around reducing falls, food services, and the restraint minimisation programme.</w:t>
      </w:r>
    </w:p>
    <w:p w:rsidRPr="00A4268A">
      <w:pPr>
        <w:spacing w:before="240" w:line="276" w:lineRule="auto"/>
        <w:rPr>
          <w:rFonts w:eastAsia="Calibri"/>
        </w:rPr>
      </w:pPr>
      <w:r w:rsidRPr="00A4268A">
        <w:rPr>
          <w:rFonts w:eastAsia="Calibri"/>
        </w:rPr>
        <w:t>This audit identified one shortfall around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residents and relatives confirm that residents and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facilities manager, clinical manager and resident services manager are responsible for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that is specific to their job role and responsibilities.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There is a monthly maintenance plan that includes environmental, building and resident equipment checks.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three residents assessed as requiring the use of restraint and no residents using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2"/>
        <w:gridCol w:w="1280"/>
        <w:gridCol w:w="104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six residents (two hospital, four rest home) and family members confirmed their understanding of the complaints process.  Staff interviewed (eight caregivers who work across all areas (rest home, hospital, dementia, serviced apartments) on both the AM and PM shifts, one head chef, two diversional therapists and five registered nurses)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includes written and verbal complaints, dates and actions taken.  Complaints are being managed in a timely manner, meeting timeframes determined by the Health and Disability Commissioner (HDC).  Complainants are provided with information on how to escalate their complaint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Nine complaints have been lodged in 2020 (year to date).  One complaint was lodged with the DHB and has been closed following an investigation.  One complaint has been lodged with HDC and remains open.  A response to HDC has been submitted.  Quality improvements linked to this complaint have been implemented including (but not limited to) a series of staff in-services (e.g., acute deterioration, recognising dying, gradual deterioration, communication, death and dying, recognising and defining frailty, syringe driver), and improving staff compliance (e.g., end of life care documentation).  Two additional complaints were selected for review around resident care.  These complaints were responded to in a timely manner and have been closed with actions taken to resolve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risk management systems.  There is evidence of complaints received being discussed in staff and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responsibilities around open disclosure and communication.  Staff are required to contact and record family notification when entering an incident into the database.  Incidents reviewed met this requirement.  Six family members interviewed (three hospital, three dementia) confirmed they are notified following an adverse event or a change of health status of their family member.  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is a Ryman healthcare retirement village.  The care centre is modern and spacious.  The facility is built across three floors and is designed around a large atrium and courtyards.  It provides rest home, hospital and dementia levels care for up to 236 residents. This includes 40 serviced apartments certified to be able to provide rest home level care.  The units are broken down into the following. (i) Aoraki unit is a 43-bed dual-purpose unit; (ii) Olivier unit is a 42-bed hospital unit; (iii) Kathmandu unit is a 30-bed hospital unit; (iv) Himalaya unit is a 50-bed dual purpose unit; (vi) Tibet special care units (two stand-alone units with a total of 30-beds).    </w:t>
            </w:r>
          </w:p>
          <w:p w:rsidR="00EB7645" w:rsidRPr="00BE00C7" w:rsidP="00BE00C7">
            <w:pPr>
              <w:pStyle w:val="OutcomeDescription"/>
              <w:spacing w:before="120" w:after="120"/>
              <w:rPr>
                <w:rFonts w:cs="Arial"/>
                <w:b w:val="0"/>
                <w:lang w:eastAsia="en-NZ"/>
              </w:rPr>
            </w:pPr>
            <w:r w:rsidRPr="00BE00C7">
              <w:rPr>
                <w:rFonts w:cs="Arial"/>
                <w:b w:val="0"/>
                <w:lang w:eastAsia="en-NZ"/>
              </w:rPr>
              <w:t>Occupancy during the audit was192 (49 rest home level residents (which includes 6 in the serviced departments), 114 hospital level residents and 29 dementia level residents.  There were two hospital level residents on respite and one hospital level resident on ACC.  The remaining residents were on the age-related residential care services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In addition, a value statement, philosophy, goals, values and beliefs are documented that are specific to Ryman Edmund Hillary. Organisational objectives for 2020 are defined with evidence of monthly reviews and quarterly reporting to Ryman Christchurch on progress towards meeting these objectives.  Evidence in staff and management meeting minutes reflect discussions around the 2020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Edmund Hillary has been in the role for over eight years.  A facilities manager, resident services manager and clinical manager (registered nurse (RN)) provide management support to the village manager.  The clinical manager is new to her role (July 2020).  The management team is supported by a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has a well-established quality and risk management system that is directed by Ryman Christchurch (head office).  Quality and risk performance is reported across the facility meetings and also to the organisation's management team.  Discussions with the managers (village manager, residential services manager, Ryman operations clinical manager, clinical manager) and staff and review of management and staff meeting minutes demonstrates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scheduled two-monthly for each wing and relative meetings are scheduled six-monthly. The village manager attends the meetings and minutes are maintained.  Resident and relative surveys are completed annually.  Results for the 2020 residents survey (sample of 50 responses) reflected improvements compared to 2019 with a ranking of 17 out of 32 care facilities.  The 2020 relatives survey also reflected improvements compared to 2019 results with a rank of 10 out of 32 facilities.  Quality improvement plans (QIPs) were identified where issues were noted (e.g., food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quality-of-service delivery in the facility and across the organisation.  There are clear guidelines and templates for reporting.  Service appropriate management systems, policies, and procedures are developed, implemented and regularly reviewed, meeting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committee meetings. A health and safety officer (facilities manager) is appointed who has completed stage two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A review of the hazard register and the maintenance register indicates that there is resolution of issues identified.  All contractors are inducted to health and safety processes by maintenance staff.  All new staff are inducted and orientated to the facility and are advised of the health and safety programme.  There is also annual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identifying residents at risk of falling while using their mobility equipment.  Falls have continued to reflect a reduction for rest home level residents and have remained low (below the threshold) for the 2020 calendar year since August 2020.  This previous rating of continuous improvement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fifteen incident/accident reports (e.g., witnessed and unwitnessed falls, skin tears, bruising, pressure injuries) identified that all are fully completed and include follow-up by a registered nurse.  Neurological observations are completed for unwitnessed falls or any suspected injury to the head.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able to identify situations would be reported to statutory authorities.  Examples were provided which included notification (Section 31 reporting) for pressure injuries (three stage three and two unstageable) and one complaint lodged with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Nine staff employed since the previous audit were selected for the HR files review (eight caregivers, one dining assistant).  All files included evidence of a signed contract, job description relevant to the role the staff member is in, police check, induction (general and specific), and reference checks.  All files reviewed also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and enrolled nurse practising certificates is maintained within the facility.  Practicing certificates for other health practitioners (general practitioners and nurse practitioner, physiotherapist,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A general orientation programme that is attended by all staff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 and achieve a level two NZQA (New Zealand Qualification Authority) qualification on completion.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Training is offered multiple times/days to ensure that staff are able to attend.   Staff also complete competency questionnaires annually. Registered nurses are supported to maintain their professional competency.  Thirteen of thirty-six registered nurses have completed their interRAI training.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All staff employed with Ryman Edmund Hillary are expected to complete dementia training with Ryman currently in the process of implementing an NZQA (New Zealand Qualification Authority) approved dementia course.  In the dementia unit, twenty caregivers are employed to work in this unit, ten have completed their dementia qualification and ten are currently in the process of completing theirs.  They have one year to complete this qualification in order to continue to work in the dementia unit as per Ryman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and caregivers related to specialised procedure or treatment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facilities manager, resident services manager work Monday – Friday and clinical manager/RN works Sunday - Thursday. </w:t>
            </w:r>
          </w:p>
          <w:p w:rsidR="00EB7645" w:rsidRPr="00BE00C7" w:rsidP="00BE00C7">
            <w:pPr>
              <w:pStyle w:val="OutcomeDescription"/>
              <w:spacing w:before="120" w:after="120"/>
              <w:rPr>
                <w:rFonts w:cs="Arial"/>
                <w:b w:val="0"/>
                <w:lang w:eastAsia="en-NZ"/>
              </w:rPr>
            </w:pPr>
            <w:r w:rsidRPr="00BE00C7">
              <w:rPr>
                <w:rFonts w:cs="Arial"/>
                <w:b w:val="0"/>
                <w:lang w:eastAsia="en-NZ"/>
              </w:rPr>
              <w:t>Aoraki wing (occupancy 37 hospital and 3 rest home level residents) is staffed with a unit coordinator/RN Tuesday – Saturday.  Two staff RNs cover both the AM and PM shifts and one RN covers the night shift.  The am shift is staffed with four long and four short shift caregivers, the PM shift is staffed with four long and four short shift caregivers and the night shift is staffed with two long shift caregivers.  In addition, a fluid assistant is rostered 0930 – 1300 and a lounge carer is rostered 1600 – 2000.</w:t>
            </w:r>
          </w:p>
          <w:p w:rsidR="00EB7645" w:rsidRPr="00BE00C7" w:rsidP="00BE00C7">
            <w:pPr>
              <w:pStyle w:val="OutcomeDescription"/>
              <w:spacing w:before="120" w:after="120"/>
              <w:rPr>
                <w:rFonts w:cs="Arial"/>
                <w:b w:val="0"/>
                <w:lang w:eastAsia="en-NZ"/>
              </w:rPr>
            </w:pPr>
            <w:r w:rsidRPr="00BE00C7">
              <w:rPr>
                <w:rFonts w:cs="Arial"/>
                <w:b w:val="0"/>
                <w:lang w:eastAsia="en-NZ"/>
              </w:rPr>
              <w:t>Olivier wing (occupancy 41 hospital level residents) is staffed with a unit coordinator/RN Tuesday – Saturday.  Two RNs cover the AM and the PM shifts.  One RN covers the night shift.  The AM shift is staffed with five long and four short shift caregivers, the PM is staffed with three long and five short shift caregivers and the night shift is staffed with two caregivers.  In addition, a fluid assistant is rostered on the AM shift and a lounge carer is rostered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Kathmandu wing (occupancy 26 hospital level residents) is staffed with a unit coordinator/RN Sunday – Thursdays.  One RN covers the AM shift with a second RN staffed the two days the unit coordinator is not available.  One RN is staffed on the PM shift and one RN is staffed on the night shift.  The AM shift is staffed with three long and two short shift caregivers, the PM shift is staffed with two long and short shift caregivers and the night shift is staffed with two caregivers.  In addition, a fluid assistant is rostered on the AM shift and a lounge carer is rostered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Tibet wing (occupancy 29 dementia level residents across two separate units) There is a unit coordinator/RN Tuesday – Saturday across both units.  One staff RN covers the AM shift with a second RN rostered on the two days that a unit coordinator is not available.  One RN covers the PM shift from 1600 – 2100).  The AM shift is staffed with two long and one short shift caregivers, the PM shift is staffed with one long and one short shift caregiver and the night shift is staffed with three long caregivers, one who is a designated senior caregiver.  In addition, a dining assistant is rostered from 1000 – 1400 and a servery assistant is rostered from 1400 – 1930.</w:t>
            </w:r>
          </w:p>
          <w:p w:rsidR="00EB7645" w:rsidRPr="00BE00C7" w:rsidP="00BE00C7">
            <w:pPr>
              <w:pStyle w:val="OutcomeDescription"/>
              <w:spacing w:before="120" w:after="120"/>
              <w:rPr>
                <w:rFonts w:cs="Arial"/>
                <w:b w:val="0"/>
                <w:lang w:eastAsia="en-NZ"/>
              </w:rPr>
            </w:pPr>
            <w:r w:rsidRPr="00BE00C7">
              <w:rPr>
                <w:rFonts w:cs="Arial"/>
                <w:b w:val="0"/>
                <w:lang w:eastAsia="en-NZ"/>
              </w:rPr>
              <w:t>Himalaya wing (40 rest home level residents, 10 hospital residents) is staffed with one-unit coordinator/RN Sunday – Thursday.  One RN covers the AM shift with a second RN staffed the two days the unit coordinator is not available.  One RN is staffed on the PM shift and one RN is staffed on the night shift.  The AM shift is staffed with three short and three long shift caregivers, the PM shift is staffed with a senior caregiver, one short shift and one long shift caregiver, and the night shift is staffed with two long shift caregivers.</w:t>
            </w:r>
          </w:p>
          <w:p w:rsidR="00EB7645" w:rsidRPr="00BE00C7" w:rsidP="00BE00C7">
            <w:pPr>
              <w:pStyle w:val="OutcomeDescription"/>
              <w:spacing w:before="120" w:after="120"/>
              <w:rPr>
                <w:rFonts w:cs="Arial"/>
                <w:b w:val="0"/>
                <w:lang w:eastAsia="en-NZ"/>
              </w:rPr>
            </w:pPr>
            <w:r w:rsidRPr="00BE00C7">
              <w:rPr>
                <w:rFonts w:cs="Arial"/>
                <w:b w:val="0"/>
                <w:lang w:eastAsia="en-NZ"/>
              </w:rPr>
              <w:t>Service apartments (6 rest home level residents) is staffed with one-unit coordinator/RN five days a week.  An RN is rostered on the two days that the unit coordinator is not available.  The AM is staffed with one long and one short shift caregiver, and the PM is staffed with two short shift caregivers (1600 – 2100).  After 2100, the caregivers in the rest home wing (Himalaya) staff the serviced apartments.  The serviced apartment call system is linked to their pagers.</w:t>
            </w:r>
          </w:p>
          <w:p w:rsidR="00EB7645" w:rsidRPr="00BE00C7" w:rsidP="00BE00C7">
            <w:pPr>
              <w:pStyle w:val="OutcomeDescription"/>
              <w:spacing w:before="120" w:after="120"/>
              <w:rPr>
                <w:rFonts w:cs="Arial"/>
                <w:b w:val="0"/>
                <w:lang w:eastAsia="en-NZ"/>
              </w:rPr>
            </w:pPr>
            <w:r w:rsidRPr="00BE00C7">
              <w:rPr>
                <w:rFonts w:cs="Arial"/>
                <w:b w:val="0"/>
                <w:lang w:eastAsia="en-NZ"/>
              </w:rPr>
              <w:t>A ‘cover-pool’ of staff (three RN shifts and three caregiver shifts) are additional staff that are added to the roster to cover staff absences.</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Registered nurse and senior caregivers have completed annual medication competencies and education.  Registered nurses have completed syringe driver training.  Medications are stored safely in all units (three hospital units, rest home, serviced apartments and dementia care unit).  All regular medications (blister packs) are checked on delivery by RNs against the electronic medication chart.   A bulk supply order is maintained for hospital level residents.  Eyedrops and ointments are dated on opening.  The medication fridges and medication rooms are checked weekly and temperatures sighted were within the acceptable range.  There was one rest home resident and one hospital level resident self-medicating on the day of audit.  Medications were stored safely in the resident’s room.  Three monthly self-medication competencies had been completed by the RN and authorized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three paper based (respite) and fifteen on the electronic medication system were.  Medications are reviewed at least three-monthly by the GP for the long-term residents.  The GP and the community mental health nurse review medications for dementia care residents.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 However, not all medication was labelled.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chef oversees the procurement of the food and management of the kitchen.  The food control plan has been verified and expires May 2021. There is a well-equipped kitchen, and all meals are cooked onsite.  Meals are plated in the kitchen and taken to the dining rooms in hot boxes and served directly from these.  Meals going to rooms on trays have covers to keep the food warm.  Special equipment such as lipped plates are available.  There is a kitchen manual and a range of policies and procedures to safely manage the kitchen and meal services.  Audits are implemented to monitor performance.  Kitchen fridge and freezer temperatures are monitored and recorded weekly.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and on a whiteboard.   There are snacks available at all times in the dementia unit.  The four-weekly menu cycle is approved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were very satisfied with the meals.  Residents have the opportunity to feedback on the service through resident meetings and surveys. Management liaise regularly with the head chef to monitor feedback and identify any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or nurse specialist consultation.  Registered nurse interviewed state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management plans are completed on myRyman.   The service wound champion reviews all wounds and wound plans on a regular basis. When wounds are due to be dressed a task is automated on the RN daily schedule.  Wound assessment, wound management, evaluation forms, and wound monitoring occurs as planned in the sample of wounds reviewed.   There were 66 wounds, noting that some residents have more than one wound.  The wounds ranged from minor skin abrasions,  skin tears, basal cell carcinomas (three), ulcers (nine) and 11 pressure injuries.  There were ten facility acquired pressure injuries: one stage one, five stage two, three stage three and two unstageable (section 31 notifications were sighted).  The DHB specialist input to care was documented for the unstageable pressure injuries.  All of the residents with a pressure injury  and the majority of resident with any other wound) had a documented dietitian review.  The service has an action plan in plan around skin care/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Pressure injury prevention equipment is available and is being used.  Caregivers document changes of position electronically.</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six activity officers and lounge carers implement the Engage activities programme in each unit that reflects the physical and cognitive abilities of the resident groups.  The rest home is Monday to Friday and the dementia and hospital programmes are units are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for each unit in large print on noticeboards and some residents also have a copy in their rooms.  Residents have the choice of a variety of engage activities in which to participate including (but not limited to); triple A exercises, board games, quizzes, music, reminiscing, sensory activities, crafts and walks outside.  The rest home residents in serviced apartment can choose to attend the serviced apartment or rest home activity programme. Those residents who prefer to stay in their room or who need individual attention have one on one visits to check if there is anything they need and to have a chat.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for the rest home, dementia care and mobile hospital resident outings.  Residents attend functions in the community such as the ‘opportunity’ ’monthly concerts and school productions.   There are regular combined activities and celebrations held in the large lounges and atrium for residents from all the units. Dementia care residents (as appropriate) join in the rest home/hospital activities for entertainment and other celebrations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Activities in the dementia care units include triple A exercises, garden walks in the two courtyards and around the village, singing, happy hours, hand therapy, word games, knitting group and dancing.  The men attend the combined units’ men’s group for activities and outings.   Volunteers are gradually being reintroduced following Covid -19.  The activity sent photos to families during lockdown and enabled zoom meetings for residents and families.  Families interviewed welcomed this initiative and were very grateful.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chapel with room visits as required.  There are regular entertainers visiting the facility.  Special events like birthdays, Easter, Father’s Day, Anzac Day and Christmas and theme days are celebrated.  Junior school children and Kapa Haka groups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long-term resident care plans reviewed had been evaluated by the registered nurses six-monthly or when changes to care occurs.  The respite care resident does not require an evaluation of care.  The RN completes a daily evaluation for respite residents.  The multidisciplinary review involves the RN, GP, caregiver and resident/family if they wish to attend.  Activities plans are evaluated at the same time as the care plan.  There are one-three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17 August 2021.   </w:t>
            </w:r>
          </w:p>
          <w:p w:rsidR="00EB7645" w:rsidRPr="00BE00C7" w:rsidP="00BE00C7">
            <w:pPr>
              <w:pStyle w:val="OutcomeDescription"/>
              <w:spacing w:before="120" w:after="120"/>
              <w:rPr>
                <w:rFonts w:cs="Arial"/>
                <w:b w:val="0"/>
                <w:lang w:eastAsia="en-NZ"/>
              </w:rPr>
            </w:pPr>
            <w:r w:rsidRPr="00BE00C7">
              <w:rPr>
                <w:rFonts w:cs="Arial"/>
                <w:b w:val="0"/>
                <w:lang w:eastAsia="en-NZ"/>
              </w:rPr>
              <w:t>Maintenance requests are generated through the on-line system and closed off when completed or paper-based system after-hours.  There is a monthly maintenance plan that includes environmental, building and resident equipment checks.  Electrical equipment has been tested and tagged.  Clinical equipment including hoists and weigh scales, have been calibrated.  Hot water checks in resident areas are checked monthly as part of the planned maintenance schedule.  Essential contractors are available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Outdoor areas provide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the equipment required to safely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Staff are informed of infection control through the variety of facility meetings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since the last audit.  In March 2020 there was a gastroenteritis outbreak. Public health was informed, and the outbreak managed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resource information and plans around preparing for and managing Covid 19.  An additional competency has been added to the training schedule on personal protective equipment.  Staff are also required to complete a self-directed or on-site session on Covid 19.  There are plentiful supplies of PPE.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complete an electronic health declaration which also serves as contact tracing.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used only where it is clinically indicated and justified and where other de-escalation strategies have been ineffective.  The policies and procedures are comprehensive and include definitions, processes and use of restraints and enablers.  The organisation continues to work towards becoming restraint-free.</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no residents using enablers and three residents using restraints.  This rating of continuous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87"/>
        <w:gridCol w:w="1280"/>
        <w:gridCol w:w="5009"/>
        <w:gridCol w:w="2358"/>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units has a medication room (hospital one, two and three, rest home and the dementia unit) Medications are stored securely, and all staff who administer medication have completed a medication competency. Staff were observed administering medication and all practices were safe.  However, not all medication was labelled.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 inhalers were not named in the rest home.  (ii).Two syringes containing medication for the syringe driver were not labelled, dated or named.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medication is labelled and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1"/>
        <w:gridCol w:w="1280"/>
        <w:gridCol w:w="2665"/>
        <w:gridCol w:w="78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in the rest home have remained below the Ryman threshold since August 2020.  Two QIPs are in place to reduce the number of falls for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Clinical indicator data has individual reference ranges for acceptable limits. Residents falls are monitored monthly with strategies implemented to reduce the number of falls including: providing falls prevention training for staff; ensuring adequate supervision of residents; and encouraging resident participation in the activities programme; physiotherapy assessments for all residents; routine checks of all residents specific to each resident’s needs (intentional rounding); the use of sensor mats and night lights; two hourly toileting for residents at risk of falling, GP/pharmacy reviews and the implementation of a falls calendar that highlights the location and time of residents’ falls.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were knowledgeable in regard to preventing falls and those residents who were at risk.  The falls prevention programme has been reviewed monthly and is regularly discussed at staff meetings.  A review of the data evidenced that the falls rate is below the Ryman benchmarked target (11/1000 bed nights) for rest home level residents with the average rate of 8.1/1000 bed nights (August 2020 to November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continued with a number of systems to ensure residents nutritional needs are met and the dining experience improved.  ‘Project delicious’ has continued and there is dietitian input to all residents with fragile skin, a wound or special dietary need.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four-week rotating seasonal menu continues to offer a variety of choices including three main dishes for the midday and two choices for evening meal including a vegetarian option.  Gluten free meals are offered on the menu.  Dietary needs are met through the project delicious menu options.  The service has liaised with food suppliers to improve quality of suppliers including access to specialised pure foods for pureed options.  The dining rooms (viewed) have been set up to reflect an ambience of relaxed dining as observed during mealtimes.  Nurses stations have laminated cards giving direction to assist staff with expectations for meal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Dietitian input was documented for all resident with fragile skin or a wound ( as well as for specialised needs such as weight loss).  The additional nutritional requirements for residents with wounds have been recognised by the service and, although not formally measured, the RNs and NP felt that wound healing was much improved. </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resident surveys document that satisfaction with meal services has continued to improve.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enablers and three restraints were in place for a facility that had an occupancy of 187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an enabler and only three residents who required the use of restraint (one bedrails and two chair briefs).  Strategies being implemented include mandatory staff education and training including staff competencies, encouraging at risk residents to spend time in the lounges, and anticipating residents’ needs (eg toileting).  Also, significant time is spent educating families about the benefits of not using restraint.  Evaluation of these strategies and regular restraint meetings to review restraint usage has resulted in maintaining the previous rating of continuous improvement.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Edmund Hillary Retirement Village Limited - Edmund Hillary Retirement Village</w:t>
    </w:r>
    <w:bookmarkEnd w:id="58"/>
    <w:r>
      <w:rPr>
        <w:rFonts w:cs="Arial"/>
        <w:sz w:val="16"/>
        <w:szCs w:val="20"/>
      </w:rPr>
      <w:tab/>
      <w:t xml:space="preserve">Date of Audit: </w:t>
    </w:r>
    <w:bookmarkStart w:id="59" w:name="AuditStartDate1"/>
    <w:r>
      <w:rPr>
        <w:rFonts w:cs="Arial"/>
        <w:sz w:val="16"/>
        <w:szCs w:val="20"/>
      </w:rPr>
      <w:t>8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