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Aroha Care Centre for the Elderly - Aroha Care Centre for the Elderly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Aroha Care Centre for the Elderly</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Aroha Care Centre for the Elderly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October 2020</w:t>
      </w:r>
      <w:bookmarkEnd w:id="7"/>
      <w:r w:rsidRPr="009418D4">
        <w:rPr>
          <w:rFonts w:cs="Arial"/>
        </w:rPr>
        <w:tab/>
        <w:t xml:space="preserve">End date: </w:t>
      </w:r>
      <w:bookmarkStart w:id="8" w:name="AuditEndDate"/>
      <w:r w:rsidR="00A4268A">
        <w:rPr>
          <w:rFonts w:cs="Arial"/>
        </w:rPr>
        <w:t>14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Aroha Care Centre for the Elderly is a charitable trust governed by the Taita Trust Board.  The service provides rest home and hospital level of care for up to 75 residents.  On the day of the audit there were 73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An experienced nurse manager is responsible for the daily operations and quality risk management systems for the service.  She is supported by a clinical manager and a team of senior registered nurses and long-serving care staff.  </w:t>
      </w:r>
    </w:p>
    <w:p w:rsidRPr="00A4268A">
      <w:pPr>
        <w:spacing w:before="240" w:line="276" w:lineRule="auto"/>
        <w:rPr>
          <w:rFonts w:eastAsia="Calibri"/>
        </w:rPr>
      </w:pPr>
      <w:r w:rsidRPr="00A4268A">
        <w:rPr>
          <w:rFonts w:eastAsia="Calibri"/>
        </w:rPr>
        <w:t xml:space="preserve">The residents and relatives spoke positively about the care including the meals and activities provided. </w:t>
      </w:r>
    </w:p>
    <w:p w:rsidRPr="00A4268A">
      <w:pPr>
        <w:spacing w:before="240" w:line="276" w:lineRule="auto"/>
        <w:rPr>
          <w:rFonts w:eastAsia="Calibri"/>
        </w:rPr>
      </w:pPr>
      <w:r w:rsidRPr="00A4268A">
        <w:rPr>
          <w:rFonts w:eastAsia="Calibri"/>
        </w:rPr>
        <w:t xml:space="preserve">The service has addressed one of the two shortfalls from the previous certification audit around timeframes.  A further improvement continues to be required around medication documentation. </w:t>
      </w:r>
    </w:p>
    <w:p w:rsidRPr="00A4268A">
      <w:pPr>
        <w:spacing w:before="240" w:line="276" w:lineRule="auto"/>
        <w:rPr>
          <w:rFonts w:eastAsia="Calibri"/>
        </w:rPr>
      </w:pPr>
      <w:r w:rsidRPr="00A4268A">
        <w:rPr>
          <w:rFonts w:eastAsia="Calibri"/>
        </w:rPr>
        <w:t>This surveillance audit identified a further area for improvement around an aspect of medication management.</w:t>
      </w:r>
    </w:p>
    <w:p w:rsidRPr="00A4268A">
      <w:pPr>
        <w:spacing w:before="240" w:line="276" w:lineRule="auto"/>
        <w:rPr>
          <w:rFonts w:eastAsia="Calibri"/>
        </w:rPr>
      </w:pPr>
      <w:r w:rsidRPr="00A4268A">
        <w:rPr>
          <w:rFonts w:eastAsia="Calibri"/>
        </w:rPr>
        <w:t xml:space="preserve">The service has continued to maintain continuous improvement ratings for falls reduction, activities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Aroha Care Centre for the Elderly is implementing a quality and risk management system that supports the provision of clinical care.  Quality and risk data are collated for (but not limited to) residents’ falls, infection rates, complaints received, restraint use, pressure injuries, and medication errors.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are responsible for administration of medicines and complete annual education and medication competencies.  The electronic medicine charts (reviewed) were reviewed by the general practitioner monthly for hospital residents and at least three-monthly for rest home residents.     </w:t>
      </w:r>
    </w:p>
    <w:p w:rsidRPr="00A4268A" w:rsidP="00621629">
      <w:pPr>
        <w:spacing w:before="240" w:line="276" w:lineRule="auto"/>
        <w:rPr>
          <w:rFonts w:eastAsia="Calibri"/>
        </w:rPr>
      </w:pPr>
      <w:r w:rsidRPr="00A4268A">
        <w:rPr>
          <w:rFonts w:eastAsia="Calibri"/>
        </w:rPr>
        <w:t xml:space="preserve">The diversional therapists and activities team provide and implement an interesting and varied activity programme.  The programme includes community visitors and outings, entertainment and activities that meet the individual recreational, physical, cultural and cognitive abilities and preferences for each resident group.  There are integrated rest home and hospital activities.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schedule.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During the audit 10 residents were using a restraint and two residents were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collates infection control surveillance data which is used to determine infection control activities and education needs within the facility.  There are internal infection control audits and staff competencies completed.  Covid-19 screening is in place for staff and visitors entering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The nurse manager is responsible for ensuring complaints are addressed within the required timeframe and maintains contact with the complainant throughout the complaints process.  A complaints procedure is provided to residents within the information pack at entry.  Email concerns are managed in line with the complaint management process.  There have been three email concerns for 2019 and eight email concerns for 2020 to date with five received during the Covid-19 lockdown period.  All email concerns were acknowledged, investigated and followed up with responses to the complainants within the required timeframes.  There was ongoing contact with families during Covid-19 lockdown.  Two recent email concerns have been investigated and not yet resolved.  Discussions with residents and families confirmed they were provided with information on complaints during their entry to the service.  Complaint forms are located in a visible location at the entrance to the facility.  A complaint register is maintained.   Care staff interviewed (clinical manager, four caregivers, two registered nurses (RN) and two activity staff were aware of the complaints policy and procedure for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nurse manager or clinical manager welcomes residents and families on entry and explains about services and procedures.  Three rest home and one hospital level residents and relatives interviewed stated they were given time and explanation about the services and procedures.  Sixteen accident/incident forms reviewed across the rest home and hospital identified family had been kept informed.  Relatives (one rest home and one hospital level of care) interviewed stated that they were informed promptly when their family member’s health status changed.  Two monthly resident/relative meetings are held and include discussions on facility matters and services provided.  During Covid-19 lockdown the nurse manager held impromptu meetings with residents at least every two days keeping them informed.  There is ongoing regular communication with families including the sharing of photographs via the iPad.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Aroha Care Centre for the Elderly is certified to provide hospital and rest home level care for up to 75 residents.  There are 24 rest home only beds and 51 dual-purpose beds (rest home/hospital).  There is one DHB funded dual purpose respite care bed.  On the day of audit there were 73 residents including 32 rest home level residents (including two respite care) and 41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Aroha Care Centre is a charitable trust governed by the Taita trust board consisting of board members from various professions including health (general practitioner and two nurses), commerce and law.  The nurse manager provides a three-monthly report to the board who meet quarterly.  Finance and property sub-committees meet prior to the board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total quality management plan has been reviewed and includes the mission statement, values and philosophy of care.  Goals achieved include the introduction of an electronic medication system, transition to MOA, (an Australian electronic based quality management system and benchmarking system) and introduction and education around the Te Ara Whakapiri pathway.  There is a 2020 total quality management plan in place that is regularly reviewed to monitor progress against goals including clinical goals such as falls reduction and prevention of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nurse manager with a current practicing certificate.  She has postgraduate studies in health management and palliative care and has been in the role 12 years.  She is supported by an experienced clinical manager who has been in the role for 11 years.  She holds a diploma in nursing and intends to commence a postgraduate business study.  They both attend quarterly provider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clinical manager attended the 2019 aged care conference and booked to attend the 2020 conference.  Some of the board members also attended the 2019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2019 quality risk management plan in place.  Quality and risk management systems are implemented with a number of quality initiatives that reflect evidence of evaluation and positive outcomes for residents including reduction of falls, education and training around palliative care with an RN link nurse, development of acute deterioration of resident flow chart and reduction of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Policies have been reviewed regularly and staff are notified of any changes to policy.  There are resource policies on Covid-19 management and preparation.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meetings including bi-monthly quality improvement meetings, combined health and safety and infection control, registered nurse meetings, full staff meetings and caregiver meetings.  Quality and risk data, including data trends are discussed in staff meetings.  Meeting minutes are available in the staff office.  There have been additional meetings for Covid-19 updates.  There was liaison and Zoom meetings between the facility and DHB infection control officer to audit the facility for Covid preparedness (link 3.5.7).</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pressure injuries, complaints, restraint use, and medication errors.  The service is transitioning across to MOA benchmarking and quality management system.  A MOA internal annual audit schedule is being completed.  The service receives benchmarking reports for audits which also includes staff and resident involvement in each internal audit.  Corrective actions are implemented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relative/resident surveys are completed.  The collated November 2019 survey results demonstrated 87% overall satisfaction.  The results are communicated to participants and any areas for improvement identified and implemented.  A meal and activity satisfaction survey showed an improvement from 78% in 2018 to 91.6%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service has a health and safety committee with representatives from each service.  The committee meet bi-monthly and provide a report to the full staff meeting.  Health and safety orientation is provided for new staff and staff complete a health and safety questionnaire.  The committee reviews health and safety policies and procedures and the hazard register.  Staff interviewed were knowledgeable in health and safety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case-by-case basis to minimise future falls.  The service has continued to reduce falls over the past year and has continued the previous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forms are completed for each accident/incident (including falls, pressure injuries and medication errors) with immediate RN follow-up and corrective action, interventions and preventable action.  Accident/incident data is linked to the organisation's quality and risk management programme and is used for comparative purposes.  Monthly reports (falls tracking and pressure injury) are provided to the quality improvement meetings and full staff meetings.  Sixteen accident/incident forms were reviewed and reflected a clinical assessment and follow-up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and clinical nurse manager confirmed their awareness of the requirement to notify relevant authorities in relation to essential notifications.  The service has completed a section 31 for a stage 4 pressure injury (April 2020) and two resident fractures (April 2020 and June 2020).  The public health was notified for norovirus outbreak in January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Six staff files that were reviewed (two registered nurses, two caregivers, one recreational officer and one cook) contained all relevant employment documentation including contract for employment, reference checks and police checks prior to employment, relevant job description and evidence of an orientation on employment.  The orientation programme provides new staff with relevant information for safe work practice and is developed specifically to worker type.  Current practicing certificates were sighted for the RNs, general practitioner and other allied health practitioners involved in the service.  There are 14 RNs at Aroha and six of them including the clinical manager,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for 2019 has been completed.  The education plan for 2020 has been disrupted due to Covid-19.  There is at least eight hours annually of training provided, including mandatory training.  There are external educators including the aged care nurse practitioner, nurse practitioner for mental health services, hospice and chemical provider.  Competencies are completed relevant to the staff members role.  Care staff have the opportunity to progress through Careerforce qualifications.  The training programme offered is at a level to meet the provision of 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nurse manager and clinical manager both work 40 hours per week and share the on call 24/7.  Adequate registered nurse cover is provided 24 hours a day, seven days a week.  There is no agency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five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roster: Two rest home wings – Totara 21 beds (19 rest home and two hospital) and Pohutukawa wing of 18 beds (12 rest home and six hospital).  The roster for both wings includes  a charge nurse/RN on duty seven mornings a week and an additional RN on for two mornings a week.  There is an RN on afternoon shift seven days a week.  Four caregivers on morning shift (two full shifts, two short shifts to 1 pm and one caregiver 8.30 am – 12.30 pm), three caregivers on afternoon shifts (two full shift and one short shift – 7.30 pm) and two caregivers on the nightshift. </w:t>
            </w:r>
          </w:p>
          <w:p w:rsidR="00EB7645" w:rsidRPr="00BE00C7" w:rsidP="00BE00C7">
            <w:pPr>
              <w:pStyle w:val="OutcomeDescription"/>
              <w:spacing w:before="120" w:after="120"/>
              <w:rPr>
                <w:rFonts w:cs="Arial"/>
                <w:b w:val="0"/>
                <w:lang w:eastAsia="en-NZ"/>
              </w:rPr>
            </w:pPr>
            <w:r w:rsidRPr="00BE00C7">
              <w:rPr>
                <w:rFonts w:cs="Arial"/>
                <w:b w:val="0"/>
                <w:lang w:eastAsia="en-NZ"/>
              </w:rPr>
              <w:t>Hospital roster: There are three hospital level wings: Nikau – 16 beds (16 hospital residents), Kowhai – 8 beds (seven hospital residents) and Rata 12 beds (10 hospital level and one rest home resident).  The roster for the three wings includes two RNs on morning duty, one RN on afternoon duty and one on night duty to cover the facility.  The RNs are supported by seven caregivers on the morning shift (three full shifts, three short shifts until 1 pm and one “float” 8.30 am - 12.30 pm), six caregivers on the afternoon shift (two full shifts, three finishing at 9 pm, one finishing at 8.30pm)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recreational staff, laundry, cleaning and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that staffing is adequate to meet the needs of residents.  Caregivers interviewed confirmed that there are adequate staff numbers on duty to safely deliver residents cares.  Resident acuity is monitored, and additional staff are available to assist with more dependent residents.  The caregivers stated there is good support from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RNs administer medications and have been assessed for competency on an annual basis and complete on-line medication education.  Registered nurses complete syringe driver training.  All medications are stored safely.  Medications are delivered in robotic rolls and checked against the electronic medication chart.  Records of medication reconciliation were sighted.  The service uses standing orders, and these were current and met the standing order requirements.  A hospital stock is maintained for hospital level residents.  There were no residents self-medicating on the day of audit.  All eye drops were dated on opening.  The medication fridge and room air temperature are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viewed on the electronic medication system.  All medication charts met prescribing requirements including the indications for use for regular and ‘as required’ medications.  The GP has authorised all medications, and reviews medication charts three monthly.  The previous finding around prescribing of medications has been addressed.   However, there was no documented evidence of weekly checks in the register for controlled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by qualified cooks seven days a week form 8 am - 1.30 pm.  They are supported by morning and afternoon kitchen hands.  Food services staff have attended food safety and chemical safety training.  The four weekly menus have been reviewed by a dietitian.  The cook receives a resident dietary profile for all residents and is notified of any dietary changes.  Special diets are accommodated including pureed, vegetarian, diabetic and food allergies.  Cultural and religious needs are met.  Likes and dislikes are known and accommodated.  Lip plates and special cups are provided to encourage residents with independence at mealtimes.  The rest home dining room is adjacent to the main kitchen and meals are served from the kitchen bain marie.  Meals are transported in hot boxes and served from the bain marie in the hospital servery.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awaiting an audit of the food control plan which expired July 2020.  Emails were sighted which confirmed a date was pending.  Fridge, freezer and chiller temperatures are taken and recorded daily.  End-cooked food and serving temperatures are recorded daily.  Perishable foods sighted in all the fridges were dated.  Inward chilled goods were temperature checked on delivery.  The dishwasher is checked regularly by the chemical supplier.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The meal survey in December 2019 was 91.6%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There is documented evidence on the progress notes of relative contact identified by a relative contact stamp.  Family were notified of any changes to their relative’s health including falls, infections accidents/incidents, GP visits, medication changes.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Five hospital wounds and eight rest home wounds were documented and reviewed.  There were three pressure injuries including one healing stage four (buttock), one stage one and one stage two (same resident).  Both residents with pressure injuries were hospital level. A section 31 notification was sent for the non-facility acquired, stage four pressure injury. Wound assessment and treatment forms, ongoing evaluation form and evaluation notes and short-term care plans were in place for all residents with wounds.  The wound nurse specialist had been involved in non-healing wounds.  There were sufficient pressure relieving devices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forms/multi-purpose charts are used for weight, vital signs, blood sugar levels, pain, oxygen monitoring, challenging behaviour, food and fluid charts and restraint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includes is a qualified diversional therapist (DT), a recreational officer who is in DT training, two relievers and a weekend recreational officer.  The DT works four days a week in the hospital wings and the DT in training works four days a week in the rest home wings with a DT reliever and recreational officer working their days off.   The weekend recreational officer works in the hospital wings in the mornings and in the rest home in the afternoons.  There are separate programmes for each area providing a choice of activities to attend and includes integrated activities.  Copies of the programme are distributed to resident rooms and are displayed in communal areas in large print.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variety of activities that meets the abilities of all residents including art and crafts, music, quizzes, colouring, poetry, news and views, variety of exercises, walks, reminiscing, happy hour, master chef, housie, book club, knit and natter group, bowls, card games, and crazy golf.  A music therapist is contracted weekly to work with small groups of hospital level residents.  There is weekly entertainment and three van outings a fortnight for hospital residents and weekly for rest home residents.  A men’s corner commenced in January 2020 with a growing number of men attending each month.  During the lockdown period community visitors such as canine therapy, school visits and church visits were not able to continue.  Activities continued, and contact was maintained with family and photos shared.      </w:t>
            </w:r>
          </w:p>
          <w:p w:rsidR="00EB7645" w:rsidRPr="00BE00C7" w:rsidP="00BE00C7">
            <w:pPr>
              <w:pStyle w:val="OutcomeDescription"/>
              <w:spacing w:before="120" w:after="120"/>
              <w:rPr>
                <w:rFonts w:cs="Arial"/>
                <w:b w:val="0"/>
                <w:lang w:eastAsia="en-NZ"/>
              </w:rPr>
            </w:pPr>
            <w:r w:rsidRPr="00BE00C7">
              <w:rPr>
                <w:rFonts w:cs="Arial"/>
                <w:b w:val="0"/>
                <w:lang w:eastAsia="en-NZ"/>
              </w:rPr>
              <w:t>Individual one-on-one time is spent with residents who choose not to join in group activity or are unable to participate in activities.  Weekly reflections with the Chaplain have resumed.  Residents are encouraged to maintain links with the community.</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and life history are completed soon after admission.  An activity plan is incorporated into the long-term care plan which is reviewed six-monthly.  Residents and families have the opportunity to feedback on the activity programme through meetings and surveys.  Residents and family interviewed were very satisfied with the activities offered. The continuous improvement awarded at the certification audit has continued.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using information gathered in the first interRAI assessment.  Long-term care plans have been evaluated by an RN six monthly or earlier due to health changes.  There is a documented resident review meeting that records if progress towards resident goals have been met or unmet.  Care plans are updated to reflect changes.  Family had been invited to attend the care plan review and informed of any changes if unable to attend.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part-time maintenance person who works six hours a day from Monday to Thursday.  He completes a daily walkaround of the facility and addresses maintenance and repairs as requested.  There is a planned maintenance programme that includes checking of resident and facility equipment, testing and tagging of equipment and monthly hot water temperatures.  There are essential contractors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gardens and grounds are well maintained, and the resident can safely access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had sufficient equipment available to carry out resident care as documented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Data is collated and sent to an external benchmarking company.  Benchmarking and monthly surveillance results are discussed at the combined health and safety/infection control and facility meetings.  Definitions of infections are in place, appropriate to the complexity of service provided.  Trends are identified, and preventative measures put in place.  The use of Johnsons baby shampoo for the prevention of eye infections is part of daily practice and the rates of eye infections have been low.  The service is participating in a pilot project with the DHB on reduction of urinary tract infections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in January 2020.  Notification to the public health, case logs and email notifications to family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visitors and contractors complete a Covid-19 screening before entry to the service.  There has been additional education around Covid-19 and correct donning and doffing of personal protective equipment and competencies.  The service is well prepared for the isolation of residents in the event of an outbreak.  The Chapel room has not can be closed during lockdown and can be easily shut off to accommodate residents requiring isolation.  There is a large storeroom within the chapel that holds sufficient personal protective equipment, cleaning products/equipment and two beds.  The chapel can be self-contained and serviced separately.  The isolation area was viewed by the DHB infection control nurse specialist who commended the service for its innovative approach to meeting Covid-19 requirements.  The preparedness of the service was shown as an example for other providers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were two hospital residents with bedrail enablers who have voluntarily signed a consent form.  The use of the enabler and associated risks of use are documented in the care plan which is reviewed six-monthly. There were 10 hospital residents with restraint in use (nine bedrails and one chair belt).  The restraint coordinator (interviewed) is responsible for restraint documentation/monitoring which was in place for all residents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48"/>
        <w:gridCol w:w="1280"/>
        <w:gridCol w:w="4464"/>
        <w:gridCol w:w="194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There was no evidence in the controlled medication register of weekly checks.  Six monthly pharmacy audits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controlled medication checks had not been completed in the register for at least three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weekly controlled medication checks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50"/>
        <w:gridCol w:w="77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implemented with a number of quality initiatives that reflect evidence of evaluation and positive outcomes for residents and/or staff.  Monthly accident/incident data including falls is collected and analysed for trends, quality improvements and corrective actions.  Falls prevention strategies used in reducing harm from falls project have continued to be implemented and is reflected in a continuing downward trend in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implement quality initiatives that has seen a downward trend in falls across the rest home and hospital.  The ongoing action plan includes; 1) moving and handling competencies and questionnaires on orientation and annually, 2) physiotherapist involvement in resident mobility guide and transfers and staff education, 3) mobility alert cards displayed in resident bedrooms, 4) analysis of all resident falls, 5) physiotherapist reviews of resident post falls and assessment of mobility equipment, 6) GP reviews to exclude medical cause for falls and medication reviews and 7) monthly falls tracking report.  The service currently has identified three frequent fallers who have individual falls prevention and management plans in place.  There has been geriatrician input for medication and mobility reviews for medical conditions affecting frequent fallers such as Parkinson’s.  The service has been successful in reducing falls for residents other than the identified frequent fallers.  From July 2019 to December 2019 there was a total of 42 falls and from January 2020 to June 2020 there were 27 falls.  There has been a 50% reduction in falls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review their activities programme to ensure it caters for all residents.  The two separate programmes (rest home and hospital) offer a variety and choice of activities for residents to attend.  The December 2019 activity survey evidenced an increased resident satisfaction in the activity programme.  A Men’s corner was commenced in January 2020 and continued through the lockdown period with an increase in the number of men attending.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Aroha care centre develops its activity programme in consultation with residents and from feedback received through surveys and meetings.  The rest home and hospital programme offer a variety of activities and the rest home initiated a Men’s corner in response to need for men’s activities.  The rest home men invited hospital level men to join their Men’s corner and there is a group of 12-15 men attending monthly activities that include darts &amp; beer, beer pond, garden club, planting post for the deck and now with lockdown over they are planning men’s outings to places of interest such as electronics, remote control cars and recycling.  The 2019 survey for activities was 78% with an increase to 91.6% for activities in December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participating in a pilot project with the Hutt Valley DHB aiming for a reduction in UTIs in aged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completed an assessment tool and submitted UTI data to the DHB prior to commencing the pilot study.  The aim of the project is to eliminate the use of urine dipsticks as a diagnostic tool by the end of 2020.  A teaching session was held at the DHB for participants in the project.  Laboratory results identified that residents with no microorganisms had been treated with antibiotics based on a positive dipstick.  Initial intervention for residents with suspected UTIs included increase in fluids and continence management (as applicable).  Residents who were symptomatic were seen by the GP and treated with antibiotics.  The GP (interviewed) is supportive of the project and monitors the use of antibiotics.  The infection control coordinator provides a monthly report to the project leader.  A downward trend has been noted in the service UTI infection rate which reflects a lower antibiotic use.  The service continues to be involved in quality improvement projects to reduce infections.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Aroha Care Centre for the Elderly - Aroha Care Centre for the Elderly</w:t>
    </w:r>
    <w:bookmarkEnd w:id="58"/>
    <w:r>
      <w:rPr>
        <w:rFonts w:cs="Arial"/>
        <w:sz w:val="16"/>
        <w:szCs w:val="20"/>
      </w:rPr>
      <w:tab/>
      <w:t xml:space="preserve">Date of Audit: </w:t>
    </w:r>
    <w:bookmarkStart w:id="59" w:name="AuditStartDate1"/>
    <w:r>
      <w:rPr>
        <w:rFonts w:cs="Arial"/>
        <w:sz w:val="16"/>
        <w:szCs w:val="20"/>
      </w:rPr>
      <w:t>13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