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Arran Court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Arran Court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2020</w:t>
      </w:r>
      <w:bookmarkEnd w:id="7"/>
      <w:r w:rsidRPr="009418D4">
        <w:rPr>
          <w:rFonts w:cs="Arial"/>
        </w:rPr>
        <w:tab/>
        <w:t xml:space="preserve">End date: </w:t>
      </w:r>
      <w:bookmarkStart w:id="8" w:name="AuditEndDate"/>
      <w:r w:rsidR="00A4268A">
        <w:rPr>
          <w:rFonts w:cs="Arial"/>
        </w:rPr>
        <w:t>25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Arran Court is owned and operated by Radius Residential Care Limited and is certified to provide care for up to 102 residents requiring rest home and hospital (medical and geriatric) and residential disability - physical level care.  On the day of the audit there were 88 residents. </w:t>
      </w:r>
    </w:p>
    <w:p w:rsidRPr="00A4268A">
      <w:pPr>
        <w:spacing w:before="240" w:line="276" w:lineRule="auto"/>
        <w:rPr>
          <w:rFonts w:eastAsia="Calibri"/>
        </w:rPr>
      </w:pPr>
      <w:r w:rsidRPr="00A4268A">
        <w:rPr>
          <w:rFonts w:eastAsia="Calibri"/>
        </w:rPr>
        <w:t>The service is managed by an experienced facility manager.  She is supported by a Radius regional manager and a clinical manager.  Residents and relatives spoke positively about the service provided.</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the contract with the district health board.  The audit process included a review of policies and procedures, the review of residents’ and staff files, and observations and interviews with residents, relatives, staff, and management.  </w:t>
      </w:r>
    </w:p>
    <w:p w:rsidRPr="00A4268A">
      <w:pPr>
        <w:spacing w:before="240" w:line="276" w:lineRule="auto"/>
        <w:rPr>
          <w:rFonts w:eastAsia="Calibri"/>
        </w:rPr>
      </w:pPr>
      <w:r w:rsidRPr="00A4268A">
        <w:rPr>
          <w:rFonts w:eastAsia="Calibri"/>
        </w:rPr>
        <w:t>The shortfall identified at the previous audit around discrepancies between interRAI and the care plan has been addressed.</w:t>
      </w:r>
    </w:p>
    <w:p w:rsidRPr="00A4268A">
      <w:pPr>
        <w:spacing w:before="240" w:line="276" w:lineRule="auto"/>
        <w:rPr>
          <w:rFonts w:eastAsia="Calibri"/>
        </w:rPr>
      </w:pPr>
      <w:r w:rsidRPr="00A4268A">
        <w:rPr>
          <w:rFonts w:eastAsia="Calibri"/>
        </w:rPr>
        <w:t xml:space="preserve">This audit has identified one area for improvement around completion of neurological observations after residents had had an unwitnessed fall or have hit their head.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manager are responsible for day-to-day operations.  Goals are documented for the service with evidence of regular reviews.  A quality and risk management programme is embedded in practice.  Results are shared with staff.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Reactive and preventative maintenance occurs.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being implemented for the safe assessment and review of restraint and enabler use.  A register is maintained.  During the audit there were three residents were using an enabler and five residents were using a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5"/>
        <w:gridCol w:w="1280"/>
        <w:gridCol w:w="9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10 residents (3 rest home and 7 hospital [including 3YPD]) and relatives confirmed their understanding of the complaints process with examples provided.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complaints received, dates and actions taken.  The facility manager signs off each complaint when it is closed.  Two complaints were reviewed during the audit.  Complaints reviewed were being managed in a timely manner as per policy.  </w:t>
            </w:r>
          </w:p>
          <w:p w:rsidR="00EB7645" w:rsidRPr="00BE00C7" w:rsidP="00BE00C7">
            <w:pPr>
              <w:pStyle w:val="OutcomeDescription"/>
              <w:spacing w:before="120" w:after="120"/>
              <w:rPr>
                <w:rFonts w:cs="Arial"/>
                <w:b w:val="0"/>
                <w:lang w:eastAsia="en-NZ"/>
              </w:rPr>
            </w:pPr>
            <w:r w:rsidRPr="00BE00C7">
              <w:rPr>
                <w:rFonts w:cs="Arial"/>
                <w:b w:val="0"/>
                <w:lang w:eastAsia="en-NZ"/>
              </w:rPr>
              <w:t>One complaint had been received from the Health and Disability Commission since the last audit.  Corrective actions requested by the HDC have been completed.  These included a completion of an audit of patient records.  A written apology was sent to the resident’s family for its breach of The Health and Disability Commissioner Health and Disability Services Consumers’ Rights (the Code).  A written update on the steps taken to address the issue identified in the HealthCERT audit report regarding the care plans not reflecting the interRAI assessments was sent as requested.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requested an update on the steps taken to address the issues identified in the HealthCERT audit inspection  This audit confirmed that the interRAI assessments and care plans are now reflective of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linked to the quality and risk management system with trends identified and corrective actions implemented.  There is evidence of lodged complaints being discussed in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electronic system.  All 10 accidents/incidents reviewed met this requirement with family notified of any incident.  Family members interviewed (three hospital and one rest home) commented that they are notified following a change of health status of their family member or if there had been an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Family/resident meetings provide a venue where issues can be addressed.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in place and contact details of interpreters were available.  At the time of the audit, there were 14 residents who were limited in their ability to understand English.  Staff and family are used as interpreters in the first instance.  The regional manager reported that interpreter services through the DHB have been used in the past and are available if needed.  Communication information sheets are laminated and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Arran Court Rest Home and Hospital has a total of 102 beds and is certified for rest home, hospital (including medical) and residential disability - physical.  All beds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88 beds occupied.  On the day of audit, there were 32 residents at rest home level, which included one resident on an interim funding programme (IFP) contract, one long-term support - chronic health condition contract (LTS-CHC) and 4 younger persons with disability (YPD)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56 residents at hospital level of care including two residents on a long-term support - chronic health condition contract (LTS-CHC) and 6 YPD residents.  All beds are dual-purpose.  Residents not under a specific contract identified, are under the Age-Related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Care strategies 2018-2021 describe the vision, values, and objectives of Radius aged care facilities.  The 2020 -2021 business plan is specific to Radius Arran Court and describes specific and measurable goals that are regularly reviewed and updated.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30 years management experience in aged care.  She was appointed to this role in November 2019.  She is supported by a regional manager (who was present during the audit) and a clinical nurse manager.  The clinical nurse manager has been in the role for two years.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are reported in staff meetings and to the regional manager.  Discussions with the managers and staff reflected the staff’s involvement in quality and risk management processes.  Residents including those under the YPD contract, also have input into quality improvements and regularly attend the monthly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were last completed in July 2020 with a positive response.  Results were collated and discussed with staff.  No trends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adhering to relevant standards - including those standards relating to the Health and Disability Services (Safety) Act 2001.  The service's policies are reviewed at a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guidelines and templates for reporting.  The facility has implemented processes to collect, analyse and evaluate data, which is utilised for service improvements.  Results are communicated to staff in meetings and on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implemented when opportunities for improvements are identified (eg, internal audit results are lower than 95%, and partially attained criteria from previous audits).  Corrective actions are evaluated and signed off when completed.  Quality improvement plans (QIPs) are developed where opportunities for improvements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health and safety officer (administration officer) was interviewed about the health and safety programme.  She has completed health and safety training (stages one, two and three).  Risk management, hazard control and emergency policies and procedures are in place.  The hazard register was last reviewed on in November 2019.  There are procedures to guide staff in managing clinical and non-clinical emergencies.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assessing those residents who are at risk of falling.  Sensor mats, perimeter mattresses and intentional-rounding practices are implemented to reduce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electronically for each incident/accident with action(s) noted and any follow-up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10 accident/incident forms identified that forms are fully completed and include follow-up by a registered nurse and sign-off by the clinical manager.  Accident/incident forms are completed when a pressure injury is identified.  Neurological observations are not always completed for any suspected injury to the head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regional manager were able to identify situations that would be reported to statutory authorities including (but not limited to): infectious diseases, serious accidents, and unexpected death.  The DHB and Ministry of Health were notified of the new manager using a section 31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(one clinical nurse manager, one clinical team leader (registered nurse), three RNs, three healthcare assistants, one activities coordinator, one facility manager)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and includes a system for determining staff competency across a range of topics (eg, falls prevention, communication, restraint, basic cares/observations, aging process, infection control, informed consent).  There is an implemented annual education and training plan that meets contractual requirements.  All staff participate in continuing education relevant to physical disability and young people with physical disabilities.  There is an attendance register for each training session and an individual staff member record of training.  Performance appraisals were up-to-date in the staff files reviewed of staff who had been employed for one year or longer.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Four registered nurses and the clinical nurse manager have completed their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(Piha wing) has 18 rest home and 10 hospital level residents.  It is staffed with one RN and three healthcare assistants (HCAs) (two long shift, one short shift) on the AM and PM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A (Bethells wing) has 8 rest home and 24 hospital level residents.  It is staffed with one RN on the AM and PM shifts and six HCAs (three long shift and three short shift) on the AM shift and four HCAs (two long and two short) on the PM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B (13 rest home and 18 hospital) is staffed the same as hospital A.  </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is staffed with two RNs and four HCAs that cover the entire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staff turnover has been moderate, especially for registered nurses.  Absenteeism was high at the last audit but since the appointment of the new facility manager, this has settled.  Agency staff are used to fill absences.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attending to call bells in a timely manner.  Staff interviewed stated that overall, the staffing levels are satisfactory.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three residents self-administering on the day of audit.  A consent form had been signed and the resident deemed competent to self-administer.  The inhalers and creams were in a drawer.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 based and robotic pack system.  Medications are checked on arrival and any pharmacy errors recorded and fed back to the supplying pharmacy.  RNs administer all medications in the hospital.  Medication competent HCAs administer medications in the rest home.   Staff attend annual education and have an annual medication competency completed.  Four RNs are syringe driver trained by the hospice.  The medication fridge and room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medication signing sheets.  Twelve medication charts were reviewed (eight hospital and four rest home).  Medications are reviewed at least three-monthly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and a chef who work full time.  There is a cook who covers weekends and holidays.  There are five kitchenhands who cover all shifts.  All cooks have current food safety certificates.  The kitchen manager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served in each area from bain maries or hot boxes.  The temperature of the food is checked before serving.  Special equipment such as lipped plates is available.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a dietitian.  All residents/families interviewed were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The previous shortfall identified at the certification audit around documentation of interventions has been addressed.  Interventions documented now always match the information in interRAI, and the detail required to support needs and guide care is in place as per plan.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use for changes in health status.  Residents and relatives interviewed stated that they were involved in the care planning process.  There was evidence of service integration with documented input from a range of specialists and professionals including the podiatrist, dietitian, and mental health care team for older people.  The care staff interviewed advised that the care plans were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electronic incident forms and written in the progress notes.  Neurological observations are taken when there is a head injury or for an unwitnessed fall, but these are not always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Electronic wound assessment, wound management and wound evaluation forms are in place for all wounds.  Wound monitoring occurs as planned.  There are currently 22 wounds being treated.  There are currently fourteen pressure injuries.  Six are stage one and eight are stage two.  Pressure injury equipment is available and is being used.  HCAs document changes of position electronically.  The GP and wound care nurse specialist are involved as required.  The service has implemented a quality initiative around minimising pressure injuries and continually reviewing the effectiveness of strategies.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37.5 hours a week, one activities assistant who works 37.5 hours a week and one activities assistant who works 22 hours a week.  On the day of audit residents were observed listening to a newspaper reading, participating in a quiz, and playing games.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Every Monday each resident is given a copy of the weekly programme to keep in their room if they wish.  Residents have the choice of a variety of activities, in which to participate and every effort is made to ensure activities are meaningful and tailored to residents’ needs. These include exercises, bingo, news from the paper, music, quizzes, and games.  There is happy hour weekly and weekly walks in the garden (including wheelchairs).  There is a knitting club.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interdenominational church service fortnightly and Catholic communion every Sunday.      </w:t>
            </w:r>
          </w:p>
          <w:p w:rsidR="00EB7645" w:rsidRPr="00BE00C7" w:rsidP="00BE00C7">
            <w:pPr>
              <w:pStyle w:val="OutcomeDescription"/>
              <w:spacing w:before="120" w:after="120"/>
              <w:rPr>
                <w:rFonts w:cs="Arial"/>
                <w:b w:val="0"/>
                <w:lang w:eastAsia="en-NZ"/>
              </w:rPr>
            </w:pPr>
            <w:r w:rsidRPr="00BE00C7">
              <w:rPr>
                <w:rFonts w:cs="Arial"/>
                <w:b w:val="0"/>
                <w:lang w:eastAsia="en-NZ"/>
              </w:rPr>
              <w:t>Each area has a van outing weekly.  Special events like birthdays, Easter, Mothers’ Day, Anzac Day, and the Melbourne Cup are celebrated.  The residents often have afternoon tea under the trees in summer.  There are weekly entertainers.</w:t>
            </w:r>
          </w:p>
          <w:p w:rsidR="00EB7645" w:rsidRPr="00BE00C7" w:rsidP="00BE00C7">
            <w:pPr>
              <w:pStyle w:val="OutcomeDescription"/>
              <w:spacing w:before="120" w:after="120"/>
              <w:rPr>
                <w:rFonts w:cs="Arial"/>
                <w:b w:val="0"/>
                <w:lang w:eastAsia="en-NZ"/>
              </w:rPr>
            </w:pPr>
            <w:r w:rsidRPr="00BE00C7">
              <w:rPr>
                <w:rFonts w:cs="Arial"/>
                <w:b w:val="0"/>
                <w:lang w:eastAsia="en-NZ"/>
              </w:rPr>
              <w:t>There is monthly pet therapy and recently the residents were able to watch chicken eggs hatching in an incubator.</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and schools as well as the RSA.  There are outings to other Radius facilities for bowls and outings to events such as the orchid show.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ten YPD residents.  They are included in any activities they wish to join.  One is a keen member of the knitting club and also goes out independently.  One goes to stroke club.  One goes out shopping weekly and has nails and hair done in the community.  One is kept busy with many art projects.  The facility pays for Netflix so YPD residents have more up to date shows to 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IFP resident, all plans reviewed had been evaluated by the registered nurse six monthly or when changes to care occurred.  Short-term care plans for short- term needs are evaluated and signed off as resolved or added to the long-term care plan as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plans are in place for each of the residents and these are also evaluated six-monthly.  The multidisciplinary review involves the RN, GP, and resident/family if they wish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 December 2020.  There is a call bell system in all resident areas.  The facility is well equipped with hoists, wheelchairs, and transfer belts.  There is ample space to use this equipment safely.  Both internal and external areas are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generally been low.  Trends are identified and quality initiatives are discussed at staff and infection control meetings. Definitions of infections are in place appropriate to the complexity of service provided.  Systems are in place that are appropriate to the size and complexity of the facility.  A pandemic plan is in place and there is sufficient PPE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restraint coordinator.  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using restraint (restraint included lap belt, a high/low bed with a mattress on the side and bed rails) and three residents using bedrails and/or lap belt as an enabler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file of a resident using an enabler (bedrails) was reviewed.  The resident gave written consent for the use of bedrails.  The enabler was linked to the resident’s care plan and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5"/>
        <w:gridCol w:w="1280"/>
        <w:gridCol w:w="4445"/>
        <w:gridCol w:w="3057"/>
        <w:gridCol w:w="21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 has an unwitnessed fall, or a head injury neurological observation are expected to be taken as per policy.  There is a policy around neurological observations, however this could be strengthened to clarify expectations for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ten electronic incident forms reviewed (for unwitnessed falls or head injuries) did not show evidence of completion of neurological observations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neurological observation policy and ensure all neurological observations are completed as per the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Arran Court Rest Home &amp; Hospital</w:t>
    </w:r>
    <w:bookmarkEnd w:id="58"/>
    <w:r>
      <w:rPr>
        <w:rFonts w:cs="Arial"/>
        <w:sz w:val="16"/>
        <w:szCs w:val="20"/>
      </w:rPr>
      <w:tab/>
      <w:t xml:space="preserve">Date of Audit: </w:t>
    </w:r>
    <w:bookmarkStart w:id="59" w:name="AuditStartDate1"/>
    <w:r>
      <w:rPr>
        <w:rFonts w:cs="Arial"/>
        <w:sz w:val="16"/>
        <w:szCs w:val="20"/>
      </w:rPr>
      <w:t>24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