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Tranquillity Bay Care Limited - Tranquillity Bay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Tranquillity Bay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Tranquillity Bay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November 2020</w:t>
      </w:r>
      <w:bookmarkEnd w:id="7"/>
      <w:r w:rsidRPr="009418D4">
        <w:rPr>
          <w:rFonts w:cs="Arial"/>
        </w:rPr>
        <w:tab/>
        <w:t xml:space="preserve">End date: </w:t>
      </w:r>
      <w:bookmarkStart w:id="8" w:name="AuditEndDate"/>
      <w:r w:rsidR="00A4268A">
        <w:rPr>
          <w:rFonts w:cs="Arial"/>
        </w:rPr>
        <w:t>4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Tranquillity Bay Care can provide rest home level care for up to 34 residents. This surveillance audit was conducted against a sub-set of the relevant health and disability standards and the provider’s contract with the district health board. There have been no changes to the organisation, of the facility since the last audit.</w:t>
      </w:r>
    </w:p>
    <w:p w:rsidRPr="00A4268A">
      <w:pPr>
        <w:spacing w:before="240" w:line="276" w:lineRule="auto"/>
        <w:rPr>
          <w:rFonts w:eastAsia="Calibri"/>
        </w:rPr>
      </w:pPr>
      <w:r w:rsidRPr="00A4268A">
        <w:rPr>
          <w:rFonts w:eastAsia="Calibri"/>
        </w:rPr>
        <w:t>The audit included a review of policies and procedures, interviews with management, staff, residents and family members. Resident and staff files were sampled.  The organisation achieved full compliance with all requirements.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Staff provide residents and families with the information they need to make informed choices and give consent. In interview, family members confirmed that they were notified following an adverse events. The complaints process meets consumer rights legislation. There have been no formal complaints since the last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is governed by the owners/managers who monitor organisational performance. Quality activities are implemented and business goals defined and monitored. There is a documented risk management system. This includes health and safety requirements. Adverse events are documented and used to make improvements.</w:t>
      </w:r>
    </w:p>
    <w:p w:rsidRPr="00A4268A">
      <w:pPr>
        <w:spacing w:before="240" w:line="276" w:lineRule="auto"/>
        <w:rPr>
          <w:rFonts w:eastAsia="Calibri"/>
        </w:rPr>
      </w:pPr>
      <w:r w:rsidRPr="00A4268A">
        <w:rPr>
          <w:rFonts w:eastAsia="Calibri"/>
        </w:rPr>
        <w:t xml:space="preserve">Human resource processes meet all requirements. Staff are suitably skilled and experienced. There are a sufficient number of qualified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registered nurses (RNs) and general practitioner (GP), assess residents’ needs on admission. Care plans are individualised, based on a comprehensive range of information and accommodate any new problems that might arise. Files sampled confirmed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facility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Click here to enter text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surveillance is appropriate to the size and scope of the service. Surveillance for infection is carried out as specified in the infection control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6"/>
        <w:gridCol w:w="1280"/>
        <w:gridCol w:w="10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complies with consumer rights legislation. All residents are provided with information regarding the complaints process, and advocacy services, on entry. Information regarding the complaints process is displayed. Residents and family interviewed confirmed they have had the complaints procedure explained to them and they know how to make a complaint if required.  Staff are aware of their responsibility to record and report any resident or family complaint they may receive. There have been no formal complaints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consumer legislation.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it was reported that this was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owned and operated by Tranquillity Bay Care Limited. There is an owner/operations manager and one director who is the owner/manager. Both owners have been working in aged care industry for many years and maintain current knowledge of the industry. Day to day management is the responsibility of the owner/manager and the clinical manager. The owner/manager is on site in excess of 40 hours per week and is currently undertaking training in business development. The clinical manager has over seven years’ experience working in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direction for the organisation is documented. The annual business plan remains current and identifies key goals for the organisation. Actions from the business plan are being implemented, for example the owner/manager’s attendance with the business development programme. The mission statement ‘the more we care, the more beautiful life becomes’ remains the same. Organisational performance is monitored through a number of activities, including weekly meetings with the clinical manager and the owner/manager. These meetings include a review of financial accounts, internal audits, surveys and resident/staff feedback.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33 residents. One resident was under 65 years of age and was funded through a mental health contract. There was one respite resident funded by the accident compensation corporation (ACC) and one respite resident funded privately under carer support. There were nine residents paying privately.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quality and risk management system has not changed since the last audit, other than the required policy reviews. Policies are linked to the Health and Disability Sector Standards, current and applicable legislation/standards, guidelines and evidenced-based practice.  Policies are available to staff in hard copy. Clinical policies and procedures are reviewed by the clinical manager. There is a document control process. Obsolete documents are removed from circulation.</w:t>
            </w:r>
          </w:p>
          <w:p w:rsidR="00EB7645" w:rsidRPr="00BE00C7" w:rsidP="00BE00C7">
            <w:pPr>
              <w:pStyle w:val="OutcomeDescription"/>
              <w:spacing w:before="120" w:after="120"/>
              <w:rPr>
                <w:rFonts w:cs="Arial"/>
                <w:b w:val="0"/>
                <w:lang w:eastAsia="en-NZ"/>
              </w:rPr>
            </w:pPr>
            <w:r w:rsidRPr="00BE00C7">
              <w:rPr>
                <w:rFonts w:cs="Arial"/>
                <w:b w:val="0"/>
                <w:lang w:eastAsia="en-NZ"/>
              </w:rPr>
              <w:t>A range of quality related activities are implemented. Services continue to be monitored through feedback, surveys, review of adverse events, and surveillance of infections, health and safety reports and implementation of an internal audit programme. Corrective action plans are documented when required, with evidence of closure. Records of meeting minutes sampled confirmed that quality data is discussed and communicated throughout the organisation. The comprehensive internal audit programme has remained in place. An improvement has been implemented over the last few months. This was change in the satisfaction survey process and questions. The wording in the surveys is now more meaningful with more valuable data being obtained.</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risk management programme is in place.  The risk management programme covers the scope of the organisation with risk levels and mitigation strategies documented 2019-2021. There is evidence that actions are being implemented, monitored and updated as required. Health and safety policies and procedures are documented along with a hazard management programme. Health and safety inspections are included in the internal audit programme. Additional processes were implemented during the COVID-19 pandemic to ensure ongoing communication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managing adverse events is documented and communicated to staff.  Records of adverse events sampled confirmed appropriate immediate actions, full investigation and timely closure. Adverse event reports had a corresponding note in the progress notes to inform staff and demonstrated that family were notified where required. The owner/manager is aware of situations in which the organisation would need to report and notify statutory authorities.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categorised and collated with any trends identified. Discussions regarding the results of investigations are included in the weekly catch up meetings between the owner/manager and the clinical manager. Records sampled confirmed discussions regarding prevention of reoccurrence and near misses. For example, a full analysis was sighted for the month of July 2020. This included the required observations following unwitnessed falls and appropriate actions and referrals for a resident with reoccurring behaviours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sampled confirmed the validation of qualifications. Records of orientation, employment contracts, position descriptions, reference checks, police vetting and performance appraisals were also sighted in staff files sampled. The orientation programme covers the essential components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Ongoing staff training is conducted against the annual training plan. Training is delivered by the clinical manager and a range of external providers. All training resources provided include a quiz from which the clinical manager can assess understanding. Mandatory competencies are defined. This includes medication management and handwashing. Evidence of the completed competencies are kept on staff files. The registered nurses have access to clinical training. The clinical manager is completing an advanced practice and clinical reasoning post graduate diploma. The other nurse has completed wound care hospice training. The clinical manager and registered nurse have both completed interRAI training. An individual record of staff attendance at training is maintained. The administrator also maintains a staff data base which is utilised to monitor that all staff requirements have been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continue to the performance review process to ensure performance is monitored in an ongoing manner. The process assesses staff performance based on clinical care delivery, people skills, quality, health and safety and general. The organisation also started a system to record any ongoing individual discussions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staffing rational has not changed since the last audit.  The rational is developed in line with district health board contract requirements. The owner/manager reports that staffing levels are reviewed for anticipated workloads, identified numbers and appropriate skill mix, or as required due to changes in resident acuity and occupancy. This included a review of rosters during the COVID-19 pandemic to ensure bubbles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site for 13 days over a fortnight. When not onsite, the registered nurses share on call duty. There are three health care assistants rostered on the morning shift, three in the afternoon and two overnight. There are designated staff for activities, maintenance and cleaning/laundry. The activities staff are also on site 13 days over a fortnight. The availability of a registered nurse and activity staff member for 13 days over the fortnight ensures ongoing support for the weekend staff. </w:t>
            </w:r>
          </w:p>
          <w:p w:rsidR="00EB7645" w:rsidRPr="00BE00C7" w:rsidP="00BE00C7">
            <w:pPr>
              <w:pStyle w:val="OutcomeDescription"/>
              <w:spacing w:before="120" w:after="120"/>
              <w:rPr>
                <w:rFonts w:cs="Arial"/>
                <w:b w:val="0"/>
                <w:lang w:eastAsia="en-NZ"/>
              </w:rPr>
            </w:pPr>
            <w:r w:rsidRPr="00BE00C7">
              <w:rPr>
                <w:rFonts w:cs="Arial"/>
                <w:b w:val="0"/>
                <w:lang w:eastAsia="en-NZ"/>
              </w:rPr>
              <w:t>Rosters are prepared four weeks in advance. Rosters sampled confirmed a sufficient number of staff over the 24-hour period, seven days per week. There is evidence that staff members are replaced in the event of an unplanned absence. Residents and family members interviewed confirmed that they have timely access to staff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system for medicine management using a paper-based system. The RN was observed administering medication and they demonstrated good knowledge and had a clear understanding of their role and responsibilities related to each stage of medicine management. All staff who administer medicines are competent to perform the function they manage. Current medication administration competencies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were stored securely in accordance with requirements and checked by two staff for accuracy when administering. The controlled drug register provided evidence of weekly and six-monthly stock checks and accurate entries. 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included the prescriber’s signature and date recorded on the commencement and discontinuation of medicines and all requirements for pro re nata (PRN) medicines. The required three-monthly GP reviews were consistently recorded on the medicine charts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were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analysed and corrective actions implemented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qualified cooks and is in line with recognised nutritional guidelines for older people. The menu follows summer and winter patterns in six weeks cycle and has been reviewed by a qualified dietitian in February 2019.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Food temperatures, including for high risk items, were monitored appropriately and recorded as part of the plan. On the day of the audit, the kitchen was clean and kitchen staff were observed following appropriate infection control measures during food preparation and serving.</w:t>
            </w:r>
          </w:p>
          <w:p w:rsidR="00EB7645" w:rsidRPr="00BE00C7" w:rsidP="00BE00C7">
            <w:pPr>
              <w:pStyle w:val="OutcomeDescription"/>
              <w:spacing w:before="120" w:after="120"/>
              <w:rPr>
                <w:rFonts w:cs="Arial"/>
                <w:b w:val="0"/>
                <w:lang w:eastAsia="en-NZ"/>
              </w:rPr>
            </w:pPr>
            <w:r w:rsidRPr="00BE00C7">
              <w:rPr>
                <w:rFonts w:cs="Arial"/>
                <w:b w:val="0"/>
                <w:lang w:eastAsia="en-NZ"/>
              </w:rPr>
              <w:t>Residents’ nutritional assessments were completed for each resident on admission to the facility and a dietary profile developed. The personal food preferences, any special diets and modified texture requirements were made known to kitchen staff and accommodated in the daily meal plan.  Copies of diet profiles were sighted in the kitchen folder. Snacks and fluids were provided for residents in a 24-hour period.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with residents and family verified that care provided to residents was consistent with their needs, goals and the plan of care. The attention to meeting a diverse range of resident’s individualised needs was evident in all areas of service provision. The GP was not available for interview on the day of the audit. Healthcare assistants confirmed that care was provided as outlined in the documentation. Appropriate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(DT), assisted by an activity’s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social assessment and history on admission to ascertain residents’ needs, interests, abilities and social requirements. Activities assessments were regularly reviewed to help formulate an activities programme that is meaningful to the residents. The residents’ activity needs were evaluated regularly as part of the formal six monthly interRAI and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were offered. Residents were observed participating in a variety of activities on the day of the audit. Residents and families/whānau were involved in evaluating and improving the programme through residents’ meetings and satisfaction surveys. Residents interviewed confirmed they find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Healthcare assistants evaluated residents’ care on each shift and documented in the progress notes, while RNs document in the progress notes every second day and more frequently when required as determined by the residents’ condition. Changes noted were reported to the RNs. This was verified in the records sampled and interviews with the RNs.</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occurred every six months following the six-monthly interRAI reassessment, or as residents’ needs change. Where progress was different from expected, the service responded by initiating changes to the plan of care. Short-term care plans were consistently reviewed, progress evaluated as clinically indicated and closed off when the condition resolved. Examples of short-term care plans sighted were for wound infections, weight loss, and urinary tract and chest infections.  The clinical manager reported that unresolved problems, would be added to long term care plan. The interviewed residents and family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np changes to the facility since the last audit. The current building warrant of fitness was sighted. Trial evacuation drills are conducted every six months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meetings and through compiled reports. Records of the monthly analysis sighted confirmed the total number of infections, comparison with the last month, reason for increase or decrease, action advised.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Tranquillity Bay Care Limited - Tranquillity Bay Care</w:t>
    </w:r>
    <w:bookmarkEnd w:id="58"/>
    <w:r>
      <w:rPr>
        <w:rFonts w:cs="Arial"/>
        <w:sz w:val="16"/>
        <w:szCs w:val="20"/>
      </w:rPr>
      <w:tab/>
      <w:t xml:space="preserve">Date of Audit: </w:t>
    </w:r>
    <w:bookmarkStart w:id="59" w:name="AuditStartDate1"/>
    <w:r>
      <w:rPr>
        <w:rFonts w:cs="Arial"/>
        <w:sz w:val="16"/>
        <w:szCs w:val="20"/>
      </w:rPr>
      <w:t>4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