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A &amp; H J Lydford - Tarahill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A &amp; H J Lydford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Tarahill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2020</w:t>
      </w:r>
      <w:bookmarkEnd w:id="7"/>
      <w:r w:rsidRPr="009418D4">
        <w:rPr>
          <w:rFonts w:cs="Arial"/>
        </w:rPr>
        <w:tab/>
        <w:t xml:space="preserve">End date: </w:t>
      </w:r>
      <w:bookmarkStart w:id="8" w:name="AuditEndDate"/>
      <w:r w:rsidR="00A4268A">
        <w:rPr>
          <w:rFonts w:cs="Arial"/>
        </w:rPr>
        <w:t>5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Tarahill Rest Home provides rest home level care for up to 18 residents. Short stay/respite care can be provided subject to bed availability. Day to day operations and governance is provided by two directors, one of whom is the designated nurse manager (NM) and the other oversees the building, grounds, equipment and procurement. There have been no significant changes to the service since the certification audit in 2018.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the directors,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There were no areas requiring improvement identified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Resident records are maintained as required.</w:t>
      </w:r>
    </w:p>
    <w:p w:rsidRPr="00A4268A">
      <w:pPr>
        <w:spacing w:before="240" w:line="276" w:lineRule="auto"/>
        <w:rPr>
          <w:rFonts w:eastAsia="Calibri"/>
        </w:rPr>
      </w:pPr>
      <w:r w:rsidRPr="00A4268A">
        <w:rPr>
          <w:rFonts w:eastAsia="Calibri"/>
        </w:rPr>
        <w:t>The complaints register reviewed showed no formal complaints received since 2018. Complaint policies and procedures meet requirements and contain a clear description of the processes to follow for effective management. Staff, residents and families interviewed were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annual business plan describes the scope, direction, goals, values and mission statement of the organisation. The directors and designated staff are monitoring all aspects of the services provided. The director/nurse manager has been in the role for many years and is an experienced registered nurse who is suitably qualified to manage an aged care service.  </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investigated and any causes are remedied to prevent recurrence. </w:t>
      </w:r>
    </w:p>
    <w:p w:rsidRPr="00A4268A">
      <w:pPr>
        <w:spacing w:before="240" w:line="276" w:lineRule="auto"/>
        <w:rPr>
          <w:rFonts w:eastAsia="Calibri"/>
        </w:rPr>
      </w:pPr>
      <w:r w:rsidRPr="00A4268A">
        <w:rPr>
          <w:rFonts w:eastAsia="Calibri"/>
        </w:rPr>
        <w:t xml:space="preserve">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The appointment, orientation and management of staff is based on current good practice. There is a systematic approach for identifying and delivering staff education. This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to confirm their level of care. The process for assessment, planning, evaluation and exit are provided by suitably qualified staff. InterRAI assessments and individualised care plans are documented and these are based on a comprehensive range of information and accommodate any new problems that might arise. All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 There is an approved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to the structure of the building. All areas inspected were clean and in good repair.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Tarahill Rest Home has a philosophy and practice of no restraint.  On the day of audit five residents were using bed levers and transfer belts as enablers to promote independence and to keep residents safe. These were consented to by the residents using them. 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surveillance programme is appropriate to the size and scope of the service. The required data is collected, analysed and communicated.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8"/>
        <w:gridCol w:w="1280"/>
        <w:gridCol w:w="101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no formal complaints had been received since 2018. Any verbal concerns are dealt with as soon as they arise by the manager to achieve a satisfactory resolution and records are kept of these.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this standard and Right 10 of the Code of Health and Disability Services Consumers rights (the Code).  Information on the complaint process is provided to residents and families on admission and those interviewed said they felt comfortable and would not hesitate to raise a concern if they had one. The director/nurse manager is responsible for complaints management and follow up. Each staff member interviewed confirmed a sound understanding of the complaint process and what actions are required of them.</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the Health and Disability Commissioner (HDC) nor any requests for advocacy services to provide support since the previous audit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if required.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which is reviewed annually, outlines the purpose, values, scope, direction and goals of the organisation. This document describes annual and longer-term objectives and refers to other associated operational plans. Interview with both director/operators and documents reviewed verified effective methods for ensuring services are provided in ways to meet the needs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director/nurse manager is a registered psychiatric nurse (RPN) with a current practicing certificate and has been in the role of manager for 24 years. This person demonstrated knowledge of the sector, regulatory and reporting requirements and maintains currency through ongoing professional development in nursing and at least eight hours of education per annum as required in the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and respite care. There were no people under the age of 65 years staying in the facility nor any for respite/short stay care on the day of audit. On the day of audit 17 of the 18 beds were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Tarahill Rest Home has well established quality and risk management systems for determining compliance and identifying where improvement is needed. Service delivery monitoring includes collation and analysis of incidents/accidents, complaints and infections, and the outcomes of internal audits. Resident and family satisfaction surveys are conducted regularly. The family survey in June 2020 and the resident meal survey in September revealed no concerns and high satisfaction. Feedback about all aspects of service provision is actively sought from all residents at their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from the directors/management and staff meetings reviewed confirmed that service delivery information is reported and discussed regularly. Staff confirmed their involvement in quality and risk management activities. The 2020 quality plan is goal focused. Actions taken and progress toward improvement is reported back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service shortfalls identified via internal audits or feedback, are remedied by implementing corrective or preventative actions. These are also noted on incident forms. The staff interviewed said that information related to improvements required was communicated in writing or verbally at handover or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based on best practice and are kept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All risks to the organisation, residents, staff and visitors are documented in policy, on the hazard register and in the risk plan with actions for mitigation. The directors are familiar with the Health and Safety at Work Act (2015) and its requirements. They described processes for the identification, monitoring, review and reporting of risks and development of mitigation strategies. The nominated health and safety officer manages all reported hazards, conducts environmental inspections, provides education and mentoring about safe lifting/manual handling and inducts all new staff to the health and safety systems in place. There have been no staff injuries in this audit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the 48 incident accident records from 2019 to date in 2020, were consistent in clearly describing and detailing the incident and recording who had been notified. Each unwitnessed fall event had attached records of post fall neurological observations.  The director/nurse manager reviews all incidents, investigates where necessary and documents preventative actions which are followed-up. This person demonstrated understanding about essential notification reporting requirements. They advised there had been one Section 31 event notified to the Ministry of Health and the DHB in April 2020 which was related to a shortage in registered nurse (RN) hours. This has since been resolved by contracting another RN to be on site for eight hours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policies and processes are based on good employment practice and relevant legislation. The recruitment process includes referee checks, police vetting and validation of qualifications and practising certificates (APCs) where required. Copies of practising certificates for the registered health practitioners providing services at the home are on file.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new staff member who was orientating on the day of audit said the process was preparing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These include mandatory training requirements such as evacuation drills, first aid and medicines competency for those who administer medicines and other education to meet the requirements of the provider’s agreement with the DHB. Two of the nine carers have achieved level four (4) of the national certificate in health and wellness, two have completed level three (3) and the others had either previously completed studies related to care of older people or have started the national certificate. The staff records reviewed demonstrated attendance at ongoing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trained and maintaining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Observations and review of the monthly roster confirmed more than adequate staff cover has been provided, with staff replaced in any unplanned absence. There is always at last one staff member with a current first aid certificate on site. The directors and care staff interviewed stated that staffing levels are adjusted to meet the changing needs of residents.  The directors live on site and are available afterhours or another RN is allocated on call duties if they are unavailable. Staff stated that ready access to advice is available when needed. Care staff reported there were adequate staff available to complete the work allocated to them. The residents and family members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safe and timely manner. Medications were stored in a safe and secure way in the trolley and locked cupboards. Medication reconciliation is conducted by the nurse manager and RN when the resident is transferred back to service from hospital, appointments, or when there are any medication changes. All medications were reviewed every three months and as required by the GP. Allergies were clearly indicated, and uploaded photos were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 The staff member observed administering medicines following the required medication protocol guidelines and legislative requirements. The controlled drug register is current and correct. Weekly and six-monthly stock takes were conducted. Monitoring of medicine fridge temperatures was conducted regularly and deviations from normal were reported and attended to promptly. All expired medications were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inhalers and was assessed as competent. A self-medication policy is in place. Medication administration records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An experienced and qualified cook is employed to oversee food services and is on site Monday to Friday for lunch and dinner. Kitchen assistants are rostered for the weekends. The menu has been reviewed by the registered dietitian. There was a four-weekly rotating summer meal menu in place. Diets were modified as required and the cooks confirmed awareness on dietary needs of the residents. Meals were served warm in sizeable portions required by residents and any alternatives were offered as required. The residents’ weights were monitored monthly and supplements were provided to residents with identified weight loss issues. The residents and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and the registration expires on 25 May 2021. The kitchen and pantry were sighted and observed to be clean, tidy and stocked. Labels and dates were on all containers. Records of food temperature monitoring, fridges and freezers temperatures are maintained. Regular cleaning was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evidenced that interventions were adequate to address the identified needs in the care plans. Significant changes were reported in a timely manner and prescribed orders carried out. The nurse manager reported that the GPs’ medical input was sought in a timely manner that medical orders were followed, and care was person centred. Care staff confirmed that care was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were appropriate to the residents’ needs and abilities. The activities were based on assessment and reflect the residents’ social, cultural, spiritual, physical, cognitive needs/abilities, past hobbies, interests and enjoyments. Social and recreational assessments were completed within two weeks of admission in consultation with the family/whanau. The activities were conducted by the qualified DT with help from care staff during weekends. The DT in consultation with the nurse manager and were involved in developing a monthly planner which was posted on the notice boards and given to all residents. The activities were varied and appropriate for rest home level of care residents and were offered from Monday to Sunday.</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had a documented activity care plan that reflected their preferred activities of choice and were evaluated every six months or as necessary. The residents were observed to be participating in a variety of activities on the audit day. The planned activities and community connections are suitable for the residents. During Covid-19 visiting restrictions family/whanau were either contacting residents through phone calls, skype and zoom and this was confirmed by residents and families in interviews conducted. There are regular outings/drives, for all residents (as appropriate).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nurse manager and RN document weekly or as necessary. All noted changes by the health care assistants were reported to the nursing staff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occurred every six months or as residents’ needs change. These were carried out by the nurse manager in conjunction with family, GP and specialist service providers. Where progress was different from expected, the service responded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reviewed weekly or as indicated by the degree of risk noted during the assessment process.  Interviews verified residents and family/whanau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on 16 June 2021.</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equipment and furniture is fit for their purpose and maintained. There have been no changes to the building structure. External areas are safely maintained and are appropriate to the resident group and setting. Trial fire evacuations are occurring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by the nurse manager to identify any significant trends or common possible causative factors and action plans were implemented. Staff interviewed reported that they were informed of infection rates at handovers, team meetings and through compiled reports.</w:t>
            </w:r>
          </w:p>
          <w:p w:rsidR="00EB7645" w:rsidRPr="00BE00C7" w:rsidP="00BE00C7">
            <w:pPr>
              <w:pStyle w:val="OutcomeDescription"/>
              <w:spacing w:before="120" w:after="120"/>
              <w:rPr>
                <w:rFonts w:cs="Arial"/>
                <w:b w:val="0"/>
                <w:lang w:eastAsia="en-NZ"/>
              </w:rPr>
            </w:pPr>
            <w:r w:rsidRPr="00BE00C7">
              <w:rPr>
                <w:rFonts w:cs="Arial"/>
                <w:b w:val="0"/>
                <w:lang w:eastAsia="en-NZ"/>
              </w:rPr>
              <w:t>There was no infection outbreak since the previous audit. Covid-19 information is in place and all ministry of health (MOH) requirements were being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Tarahill Rest Home has a philosophy and practice of no restraint. Should restraint be required, the policies contain definitions which are congruent with this standard and describe processes for assessment, consent and monitoring. Policy designates a restraint coordinator, and clearly describes the processes for evaluation, review and ongoing staff education. The restraint register recorded five residents using bed levers and transfer belts as enablers. The resident files reviewed confirmed these were voluntary and had been consented and agreed to by the residents using them.</w:t>
            </w:r>
          </w:p>
          <w:p w:rsidR="00EB7645" w:rsidRPr="00BE00C7" w:rsidP="00BE00C7">
            <w:pPr>
              <w:pStyle w:val="OutcomeDescription"/>
              <w:spacing w:before="120" w:after="120"/>
              <w:rPr>
                <w:rFonts w:cs="Arial"/>
                <w:b w:val="0"/>
                <w:lang w:eastAsia="en-NZ"/>
              </w:rPr>
            </w:pPr>
            <w:r w:rsidRPr="00BE00C7">
              <w:rPr>
                <w:rFonts w:cs="Arial"/>
                <w:b w:val="0"/>
                <w:lang w:eastAsia="en-NZ"/>
              </w:rPr>
              <w:t>Staff engage in ongoing education. This included managing challenging behaviour, use of de-escalation techniques and preventing the use of restraint. There is also an emergency restraint policy which authorises an RN to initiate an emergency restraint before a GP assessment.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A &amp; H J Lydford - Tarahill Resthome</w:t>
    </w:r>
    <w:bookmarkEnd w:id="58"/>
    <w:r>
      <w:rPr>
        <w:rFonts w:cs="Arial"/>
        <w:sz w:val="16"/>
        <w:szCs w:val="20"/>
      </w:rPr>
      <w:tab/>
      <w:t xml:space="preserve">Date of Audit: </w:t>
    </w:r>
    <w:bookmarkStart w:id="59" w:name="AuditStartDate1"/>
    <w:r>
      <w:rPr>
        <w:rFonts w:cs="Arial"/>
        <w:sz w:val="16"/>
        <w:szCs w:val="20"/>
      </w:rPr>
      <w:t>5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