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Eileen Mary Age Care Limited - Eileen Mary Retirement Complex</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Eileen Mary Age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Eileen Mary Retirement Complex</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October 2020</w:t>
      </w:r>
      <w:bookmarkEnd w:id="7"/>
      <w:r w:rsidRPr="009418D4">
        <w:rPr>
          <w:rFonts w:cs="Arial"/>
        </w:rPr>
        <w:tab/>
        <w:t xml:space="preserve">End date: </w:t>
      </w:r>
      <w:bookmarkStart w:id="8" w:name="AuditEndDate"/>
      <w:r w:rsidR="00A4268A">
        <w:rPr>
          <w:rFonts w:cs="Arial"/>
        </w:rPr>
        <w:t>22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Eileen Mary Retirement Centre is certified to provide rest home and hospital level care for up to 58 residents. The facility is owned by Eileen Mary Age Care Limited and is managed by a facility manager. Residents and families spoke positively about the care provided.</w:t>
      </w:r>
    </w:p>
    <w:p w:rsidRPr="00A4268A">
      <w:pPr>
        <w:spacing w:before="240" w:line="276" w:lineRule="auto"/>
        <w:rPr>
          <w:rFonts w:eastAsia="Calibri"/>
        </w:rPr>
      </w:pPr>
      <w:r w:rsidRPr="00A4268A">
        <w:rPr>
          <w:rFonts w:eastAsia="Calibri"/>
        </w:rPr>
        <w:t>This unannounced surveillance audit was conducted against the Health and Disability Service Standards and the service’s contract with the District Health Board.  The audit process included review of policies and procedures, review of residents and staff files, observations and interviews with residents, family/whānau, management, staff and a general practitioner.</w:t>
      </w:r>
    </w:p>
    <w:p w:rsidRPr="00A4268A">
      <w:pPr>
        <w:spacing w:before="240" w:line="276" w:lineRule="auto"/>
        <w:rPr>
          <w:rFonts w:eastAsia="Calibri"/>
        </w:rPr>
      </w:pPr>
      <w:r w:rsidRPr="00A4268A">
        <w:rPr>
          <w:rFonts w:eastAsia="Calibri"/>
        </w:rPr>
        <w:t>A provisional audit was undertaken in September 2018 prior to a potential change of ownership; however, a change of ownership did not eventuate.</w:t>
      </w:r>
    </w:p>
    <w:p w:rsidRPr="00A4268A">
      <w:pPr>
        <w:spacing w:before="240" w:line="276" w:lineRule="auto"/>
        <w:rPr>
          <w:rFonts w:eastAsia="Calibri"/>
        </w:rPr>
      </w:pPr>
      <w:r w:rsidRPr="00A4268A">
        <w:rPr>
          <w:rFonts w:eastAsia="Calibri"/>
        </w:rPr>
        <w:t xml:space="preserve">Improvements required from the previous provisional audit related to care planning and the physical space provided for activities and a requirement from the previous certification audit related to the three-monthly general practitioners’ reviews have been addressed. </w:t>
      </w:r>
    </w:p>
    <w:p w:rsidRPr="00A4268A">
      <w:pPr>
        <w:spacing w:before="240" w:line="276" w:lineRule="auto"/>
        <w:rPr>
          <w:rFonts w:eastAsia="Calibri"/>
        </w:rPr>
      </w:pPr>
      <w:r w:rsidRPr="00A4268A">
        <w:rPr>
          <w:rFonts w:eastAsia="Calibri"/>
        </w:rPr>
        <w:t>There were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complaints received by the Health and Disability Commissioner’s office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Eileen Mary Age Care Limited is the governing body and is responsible for the services provided. A business plan includes a vision, philosophy principles of care and goals. Quality and risk management systems are fully implemented, and documented systems are in place for monitoring the services provided, including regular reporting by the facility manager to the general manager who reports to the owner.</w:t>
      </w:r>
    </w:p>
    <w:p w:rsidRPr="00A4268A">
      <w:pPr>
        <w:spacing w:before="240" w:line="276" w:lineRule="auto"/>
        <w:rPr>
          <w:rFonts w:eastAsia="Calibri"/>
        </w:rPr>
      </w:pPr>
      <w:r w:rsidRPr="00A4268A">
        <w:rPr>
          <w:rFonts w:eastAsia="Calibri"/>
        </w:rPr>
        <w:t>The facility is managed by a facility manager who has been in the role for four years. The facility manager is supported by a clinical nurse leader and a general manager. The clinical nurse leader is responsible for the oversight of the clinical service in the facility.</w:t>
      </w:r>
    </w:p>
    <w:p w:rsidRPr="00A4268A">
      <w:pPr>
        <w:spacing w:before="240" w:line="276" w:lineRule="auto"/>
        <w:rPr>
          <w:rFonts w:eastAsia="Calibri"/>
        </w:rPr>
      </w:pPr>
      <w:r w:rsidRPr="00A4268A">
        <w:rPr>
          <w:rFonts w:eastAsia="Calibri"/>
        </w:rPr>
        <w:t>Quality and risk management systems are followed. There is an internal audit programme. Adverse events are documented. Various staff, quality, health and safety and residents’ meetings are held on a regular basis.</w:t>
      </w:r>
    </w:p>
    <w:p w:rsidRPr="00A4268A">
      <w:pPr>
        <w:spacing w:before="240" w:line="276" w:lineRule="auto"/>
        <w:rPr>
          <w:rFonts w:eastAsia="Calibri"/>
        </w:rPr>
      </w:pPr>
      <w:r w:rsidRPr="00A4268A">
        <w:rPr>
          <w:rFonts w:eastAsia="Calibri"/>
        </w:rPr>
        <w:t xml:space="preserve">Policies and procedures on human resources management were in place and processes followed. An in-service education programme is provided, and staff performance is monitored. </w:t>
      </w:r>
    </w:p>
    <w:p w:rsidRPr="00A4268A">
      <w:pPr>
        <w:spacing w:before="240" w:line="276" w:lineRule="auto"/>
        <w:rPr>
          <w:rFonts w:eastAsia="Calibri"/>
        </w:rPr>
      </w:pPr>
      <w:r w:rsidRPr="00A4268A">
        <w:rPr>
          <w:rFonts w:eastAsia="Calibri"/>
        </w:rPr>
        <w:t>The hazard register evidenced review and updating of risks and the addition of new risks.</w:t>
      </w:r>
    </w:p>
    <w:p w:rsidRPr="00A4268A">
      <w:pPr>
        <w:spacing w:before="240" w:line="276" w:lineRule="auto"/>
        <w:rPr>
          <w:rFonts w:eastAsia="Calibri"/>
        </w:rPr>
      </w:pPr>
      <w:r w:rsidRPr="00A4268A">
        <w:rPr>
          <w:rFonts w:eastAsia="Calibri"/>
        </w:rPr>
        <w:t xml:space="preserve">The documented rationale for determining staffing levels and skill mixes is based on best practice.  Registered nurses are always rostered on duty. The senior management team are on call after hours.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Eileen Mary Age Care Limited have their needs assessed by the multidisciplinary team on admission and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run by two activities staff, seven days a week.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code compliance certificate is displayed at the front entrance.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residents using restraints and enablers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Eileen Mary Age Care Limited undertakes surveillance of aged care specific infections. Results are analysed and trended, with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48"/>
        <w:gridCol w:w="1280"/>
        <w:gridCol w:w="98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is provided to residents and families on admission and there was complaints information available at the main entrance.  Five complaints have been received in the last 12 months and have been entered into the complaints register. Two complaints were reviewed, and actions taken were documented and completed within the timeframes specified in the Code.  Action plans reviewed evidenced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is responsible for complaint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 investigations by external agencies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stated they were kept well informed about any changes to their/their relative’s status and outcomes of regular and any urgent medical reviews. This was supported in the residents’ files reviewed. Staff understood the principles of open disclosure, which is supported by policy and procedures that meet the requirements of the Code of Health and Disability Services Consumers’ Rights (the Code). During the Covid-19 lock down staff communicated with families via emails, phone calls and facetime to keep them informed.</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when required. The clinical nurse leader also advised residents’ family members can act as interpreters,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general manager (GM) has oversight of the facilities within the group including Eileen Mary Residential Care Centre (Eileen Mary). The business plan includes a vision, philosophy, principles of care, service goals and corporate commitment. The business plan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provides weekly reports to the owner prior to the senior management meetings. These reports are a summary of all activities undertaken in the facility including but not limited to quality, infection control, education, complaints, occupancy and staffing. Review of the reports and interview of the FM from another facility within the group confirmed this. The FM advised that the GM and owner hold verbal conversations at least daily and discuss a variety of activities relating to provision of services at all the facilities within the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experienced FM, who is an RN, manages the facility and has been in the position for four years. Prior to this role they were a clinical manager for a large age care company. The FM has also held other management positions. While not on site for the audit a brief phone conversation was held with the FM. A FM from another facility within the group who is familiar with the systems at this facility was able to be present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of clinical services is the responsibility of the clinical nurse leader (CNL) who has been in their role four months. Prior to that, the CNL position was vacant and the CNL was in an acting role for several months. Annual practising certificates for the CM and FM are current. There was evidence in the CM’s file of attending forums and conferences to keep up to date. Documentation confirmed HealthCERT was advised of the change of clinical nurse leader in May 2020. </w:t>
            </w:r>
          </w:p>
          <w:p w:rsidR="00EB7645" w:rsidRPr="00BE00C7" w:rsidP="00BE00C7">
            <w:pPr>
              <w:pStyle w:val="OutcomeDescription"/>
              <w:spacing w:before="120" w:after="120"/>
              <w:rPr>
                <w:rFonts w:cs="Arial"/>
                <w:b w:val="0"/>
                <w:lang w:eastAsia="en-NZ"/>
              </w:rPr>
            </w:pPr>
            <w:r w:rsidRPr="00BE00C7">
              <w:rPr>
                <w:rFonts w:cs="Arial"/>
                <w:b w:val="0"/>
                <w:lang w:eastAsia="en-NZ"/>
              </w:rPr>
              <w:t>Eileen Mary Retirement Complex has contracts with the DHB for age related residential care, complementary care services and health recovery beds. Forty-four residents (18 hospital and 26 rest home level) were under the age-related residential care contract. This includes 19 beds that are apartments under an occupational right agreement, of which 13 were occupied (four hospital level and nine rest home level).  Two residents (rest home level) were under the complementary care services contract.</w:t>
            </w:r>
          </w:p>
          <w:p w:rsidR="00EB7645" w:rsidRPr="00BE00C7" w:rsidP="00BE00C7">
            <w:pPr>
              <w:pStyle w:val="OutcomeDescription"/>
              <w:spacing w:before="120" w:after="120"/>
              <w:rPr>
                <w:rFonts w:cs="Arial"/>
                <w:b w:val="0"/>
                <w:lang w:eastAsia="en-NZ"/>
              </w:rPr>
            </w:pPr>
            <w:r w:rsidRPr="00BE00C7">
              <w:rPr>
                <w:rFonts w:cs="Arial"/>
                <w:b w:val="0"/>
                <w:lang w:eastAsia="en-NZ"/>
              </w:rPr>
              <w:t>All beds have been approved as dual purpose.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plan has a purpose, scope, overview, quality targets and outcomes. Quality systems are well embedded. Service delivery is linked to quality and risk throughout a number of documents including health and safety, clinical, incident and accidents and infection control. The senior management team meet monthly to discuss a variety of topics including quality and risk.  Resident, quality / health and safety, RN, health care assistants and other staff meetings are held regularly and evidenced good reporting of clinical indicators, any trends and discussions around corrective actions. Meeting minutes reviewed were comprehensive with names of people responsible for any corrective actions, timeframes for completion and sign off. Any unfinished business is brought forward to the following meeting. The FM and CNL meet daily and discuss activities for the day. Interview of the CNL confirmed this. Daily meetings were held with staff during the Covid-19 lockdown to update and provide support.</w:t>
            </w:r>
          </w:p>
          <w:p w:rsidR="00EB7645" w:rsidRPr="00BE00C7" w:rsidP="00BE00C7">
            <w:pPr>
              <w:pStyle w:val="OutcomeDescription"/>
              <w:spacing w:before="120" w:after="120"/>
              <w:rPr>
                <w:rFonts w:cs="Arial"/>
                <w:b w:val="0"/>
                <w:lang w:eastAsia="en-NZ"/>
              </w:rPr>
            </w:pPr>
            <w:r w:rsidRPr="00BE00C7">
              <w:rPr>
                <w:rFonts w:cs="Arial"/>
                <w:b w:val="0"/>
                <w:lang w:eastAsia="en-NZ"/>
              </w:rPr>
              <w:t>The audit programme for 2020 and completed audits were reviewed. Resident and family surveys for 2020 evidenced satisfaction with the service provided apart from the evening meal, cleaning and the time call bells are answered. Corrective actions have been put in place and these issues are now resolved. Review of documentation and interviews of resident and families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entered electronically. Data is collated and comprehensively analysed to identify any trends. Corrective actions are developed and implemented for deficits identified. Various graphs showing quality data trends are generated annually and month by month graphs have recently been made available to staff in the nurses’ station.</w:t>
            </w:r>
          </w:p>
          <w:p w:rsidR="00EB7645" w:rsidRPr="00BE00C7" w:rsidP="00BE00C7">
            <w:pPr>
              <w:pStyle w:val="OutcomeDescription"/>
              <w:spacing w:before="120" w:after="120"/>
              <w:rPr>
                <w:rFonts w:cs="Arial"/>
                <w:b w:val="0"/>
                <w:lang w:eastAsia="en-NZ"/>
              </w:rPr>
            </w:pPr>
            <w:r w:rsidRPr="00BE00C7">
              <w:rPr>
                <w:rFonts w:cs="Arial"/>
                <w:b w:val="0"/>
                <w:lang w:eastAsia="en-NZ"/>
              </w:rPr>
              <w:t>All documents are controlled. They are relevant to the scope and complexity of the service, reflected current accepted good practice, and referenced legislative requirements. Staff receive updated policies via email and are encouraged to make comments while documents are in draft and are then discussed by the senior management team. Obsolete documents are archived electronically, and hard copies are shredded.</w:t>
            </w:r>
          </w:p>
          <w:p w:rsidR="00EB7645" w:rsidRPr="00BE00C7" w:rsidP="00BE00C7">
            <w:pPr>
              <w:pStyle w:val="OutcomeDescription"/>
              <w:spacing w:before="120" w:after="120"/>
              <w:rPr>
                <w:rFonts w:cs="Arial"/>
                <w:b w:val="0"/>
                <w:lang w:eastAsia="en-NZ"/>
              </w:rPr>
            </w:pPr>
            <w:r w:rsidRPr="00BE00C7">
              <w:rPr>
                <w:rFonts w:cs="Arial"/>
                <w:b w:val="0"/>
                <w:lang w:eastAsia="en-NZ"/>
              </w:rPr>
              <w:t>Hazards are recorded in the hazard register and newly found hazards are communicated to staff and residents as appropriate. Staff confirmed they understood what constituted a hazard and the process around reporting. Actual and potential risks are identified and documented in the risk register, including risks associated with human resources management, legislative compliance, contractual risks and clinical risk and showed the actions put in place to minimise or eliminate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on hardcopy forms.  The RNs and CNL review all completed forms with overview from the FM and GM. Corrective actions are developed and implemented. An incident analysis tool shows which resident and what time of day the incident happened.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condition. Families interviewed confirmed they were confident of being advised in a timely manner, as need be,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confirmed this.  Policy and procedures comply with essential notification reporting. The FM advised there has not been any Section 31s made to an external agency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human resources management are in place. Staff files included job descriptions which outlined accountability, responsibilities and authority, employment agreements, references, completed orientation and police vetting. All files reviewed included position descriptions including the restraint co-ordinator and the infection control coordinator. </w:t>
            </w:r>
          </w:p>
          <w:p w:rsidR="00EB7645" w:rsidRPr="00BE00C7" w:rsidP="00BE00C7">
            <w:pPr>
              <w:pStyle w:val="OutcomeDescription"/>
              <w:spacing w:before="120" w:after="120"/>
              <w:rPr>
                <w:rFonts w:cs="Arial"/>
                <w:b w:val="0"/>
                <w:lang w:eastAsia="en-NZ"/>
              </w:rPr>
            </w:pPr>
            <w:r w:rsidRPr="00BE00C7">
              <w:rPr>
                <w:rFonts w:cs="Arial"/>
                <w:b w:val="0"/>
                <w:lang w:eastAsia="en-NZ"/>
              </w:rPr>
              <w:t>An orientation programme is provided. New health care assistants (HCAs) are supported by a senior HCA who works alongside them as an initial ‘buddy’ and undertakes reviews of the HCA’s progress. The FM and CNL are responsible for the orientation of new RNs. Orientation for staff covers all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 in-service programme is comprehensive and covers a wide range of topics. In-service education is provided for staff including monthly sessions and toolbox talks at handover and staff meetings specific to residents’ health status. External educators take sessions and RNs can attend training at the local DHB. On-line learning is also encouraged. Competencies were current including for medication management and restraint. Of the five RNs, four are interRAI trained and have current competencies. There is at least one staff member on each shift with a current first aid certificate and this was evidenced on the rosters.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Qualification Authority education programme (Careerforce) is available for staff to complete and they are encouraged to do so. An RN is the assessor for the facility.  Eight HCAs have attained level one, four level two, six level three and five level four. All staff have completed at least eight hours of ongoing training annually.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Staffing levels are reviewed daily by the FM and CNL to meet the changing needs of all residents and the layout of the physical environment. The CNL and FM are on call after hours. The CNL works on the floor for two shifts per week. Care staff reported there is adequate staff available to complete the work allocated to them. Residents and families interviewed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rosters confirmed adequate staff cover is provided, with staff replaced in any unplanned absence. The administrator reported that should there be a need where a change in residents’ health status requires this, part time staff cover extra hours and there are casual staff as well to call on. Of the five RNs working on the floor, three have completed the company assessment programme (CAP) course, one employed for 10 months and the two RNs within the last three months. The other two are NZ trained and are experienced RNs including experience in aged care.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RNs and six HCAs on the morning shift, one RN and six HCAs on the afternoon shift and one RN and two HCAs on the night shift. Activities are provided five days a week from 10am to 3pm. Cleaning and laundry staff are dedicated to the roles and a cook and kitchen hands provide the meal service.</w:t>
            </w:r>
          </w:p>
          <w:p w:rsidR="00EB7645" w:rsidRPr="00BE00C7" w:rsidP="00BE00C7">
            <w:pPr>
              <w:pStyle w:val="OutcomeDescription"/>
              <w:spacing w:before="120" w:after="120"/>
              <w:rPr>
                <w:rFonts w:cs="Arial"/>
                <w:b w:val="0"/>
                <w:lang w:eastAsia="en-NZ"/>
              </w:rPr>
            </w:pPr>
            <w:r w:rsidRPr="00BE00C7">
              <w:rPr>
                <w:rFonts w:cs="Arial"/>
                <w:b w:val="0"/>
                <w:lang w:eastAsia="en-NZ"/>
              </w:rPr>
              <w:t>Nineteen care suites, or which 13 were occupied on the day of the audit are situated within the facility footprint and staffing is included in the rostering.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self-administer, inhalers, sprays or eyedrop medication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Clinical Nurse Lead (CNL)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or phone orders are not used at Eileen Mary.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has been reviewed by a qualified dietitian in June 2019.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audit has been undertaken by the Tararua District Council, and documentation verifies the plan is valid to February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safe food handling training,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at Eileen Mary reflected the support needs of residents, and the outcomes of the integrated assessment process and other relevant clinical information. The needs identified by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This finding addresses a previous corrective action request at a previous provisional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at Eileen Mary was consistent with their needs, goals and the plan of care. The attention to meeting a diverse range of resident’s individualised needs was evident in all areas of service provision. The GP interviewed, verified that medical input is sought in a timely manner and that medical orders are followed.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activities personnel. One works full time Monday to Friday, while the other works the weekend. Several volunteers assist the activities staff with implementing the programme, overseen by three trained diversional therapists each holding the national Certificate in Diversional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Tai Chi, bowls, art, crafts, singing, visiting entertainers, quiz sessions and daily news updates. The activities programme is discussed at the residents’ meetings and minutes indicate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 term care plans were continually reviewed for infections, pain, weight loss and progress evaluated as clinically indicated.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code compliance certificate is displayed in the facility that expires on the 18 May 2021.  Due to the Covid-19 lock down, the certificate has been issued by the local authority in lieu of a building warrant of fitness. There have been no structural alterations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layout of the facility is spacious with a number of lounges and areas for residents to frequent. The lounges in particular are large. The activities room was not cluttered on the day of the audit and activities were being provided in one of the main lounges. A large number of residents were observed enjoying and participating in the entertainment. Interviews of residents and staff confirmed the activities room is less cluttered and activities are not always held in the activities room, there is lots of room for residents to enjoy activities in other parts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infections at Eileen Mary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(ICN) and CNL reviews all reported infections. Monthly surveillance data is collated and analysed to identify any trends, possible causative factors and required actions. Results of the surveillance programme are shared with staff via RN,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norovirus outbreak in January 2020, affected 15 residents and five staff. It lasted for two weeks. An email from the Mid Central District Health Board (MCDHB) acknowledges the great job Eileen Mary did at managing this outbreak.</w:t>
            </w:r>
          </w:p>
          <w:p w:rsidR="00EB7645" w:rsidRPr="00BE00C7" w:rsidP="00BE00C7">
            <w:pPr>
              <w:pStyle w:val="OutcomeDescription"/>
              <w:spacing w:before="120" w:after="120"/>
              <w:rPr>
                <w:rFonts w:cs="Arial"/>
                <w:b w:val="0"/>
                <w:lang w:eastAsia="en-NZ"/>
              </w:rPr>
            </w:pPr>
            <w:r w:rsidRPr="00BE00C7">
              <w:rPr>
                <w:rFonts w:cs="Arial"/>
                <w:b w:val="0"/>
                <w:lang w:eastAsia="en-NZ"/>
              </w:rPr>
              <w:t>There is enough PPE gear on site to manage the ongoing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actively minimised. Equipment used included sensor mats, low beds and fallout pads. There were four residents using restraint and one resident using an enabler during the audit. The CNL stated the aim is to have no restraint use in the facility. The CNL / restraint coordinator demonstrated good knowledge relating to restraint minimisation. The restraint/enabler register was current. Policies and procedures have definitions of restraints and enablers. Staff demonstrated good knowledge about restraints and enablers and knew the difference between the two. The annual summary report December 2019 for restraint use was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Eileen Mary Age Care Limited - Eileen Mary Retirement Complex</w:t>
    </w:r>
    <w:bookmarkEnd w:id="58"/>
    <w:r>
      <w:rPr>
        <w:rFonts w:cs="Arial"/>
        <w:sz w:val="16"/>
        <w:szCs w:val="20"/>
      </w:rPr>
      <w:tab/>
      <w:t xml:space="preserve">Date of Audit: </w:t>
    </w:r>
    <w:bookmarkStart w:id="59" w:name="AuditStartDate1"/>
    <w:r>
      <w:rPr>
        <w:rFonts w:cs="Arial"/>
        <w:sz w:val="16"/>
        <w:szCs w:val="20"/>
      </w:rPr>
      <w:t>22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