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Tamahere Eventide Home Trust - Tamahere Eventide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Tamahere Eventide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Tamahere Eventide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2020</w:t>
      </w:r>
      <w:bookmarkEnd w:id="7"/>
      <w:r w:rsidRPr="009418D4">
        <w:rPr>
          <w:rFonts w:cs="Arial"/>
        </w:rPr>
        <w:tab/>
        <w:t xml:space="preserve">End date: </w:t>
      </w:r>
      <w:bookmarkStart w:id="8" w:name="AuditEndDate"/>
      <w:r w:rsidR="00A4268A">
        <w:rPr>
          <w:rFonts w:cs="Arial"/>
        </w:rPr>
        <w:t>20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Tamahere Eventide Home and Village provides hospital, rest home and dementia level care for up to 107 residents. The service is operated by the Tamahere Eventide Home Trust Board who also own and operate a similar sized aged care facility-Assisi Atawhai Home and Hospital, which is located nearby. Both facilities are overseen by the same management team comprising of the chief executive officer (CEO) and general managers (GM). One GM oversees care services and the other oversees the village and support services, such as food and property matters. Each site has nominated senior leaders in clinical care, and in resident and staff support who report to the executive management team.</w:t>
      </w:r>
    </w:p>
    <w:p w:rsidRPr="00A4268A">
      <w:pPr>
        <w:spacing w:before="240" w:line="276" w:lineRule="auto"/>
        <w:rPr>
          <w:rFonts w:eastAsia="Calibri"/>
        </w:rPr>
      </w:pPr>
      <w:r w:rsidRPr="00A4268A">
        <w:rPr>
          <w:rFonts w:eastAsia="Calibri"/>
        </w:rPr>
        <w:t>The most significant change at Tamahere Eventide Home and Village has been the commencement of hospital level care in January 2020 which increased the bed numbers from 83 to 107. Staff and stakeholders reported the change as seamless and this audit confirmed that the provision of hospital services has been successfully incorporated into all operational matters.</w:t>
      </w:r>
    </w:p>
    <w:p w:rsidRPr="00A4268A">
      <w:pPr>
        <w:spacing w:before="240" w:line="276" w:lineRule="auto"/>
        <w:rPr>
          <w:rFonts w:eastAsia="Calibri"/>
        </w:rPr>
      </w:pPr>
      <w:r w:rsidRPr="00A4268A">
        <w:rPr>
          <w:rFonts w:eastAsia="Calibri"/>
        </w:rPr>
        <w:t>This recertification audit was conducted against the Health and Disability Services Standards and the organisation’s contract with the Waikato District Health Board (WDHB). The audit process included review of policy and procedures, residents’ and staff files, observations and interviews with residents and their family members, all levels of staff, the visiting podiatrist, nurse practitioner and the general practitioner (GP). Residents and relatives spoke positively about the care provided.</w:t>
      </w:r>
    </w:p>
    <w:p w:rsidRPr="00A4268A">
      <w:pPr>
        <w:spacing w:before="240" w:line="276" w:lineRule="auto"/>
        <w:rPr>
          <w:rFonts w:eastAsia="Calibri"/>
        </w:rPr>
      </w:pPr>
      <w:r w:rsidRPr="00A4268A">
        <w:rPr>
          <w:rFonts w:eastAsia="Calibri"/>
        </w:rPr>
        <w:t xml:space="preserve">There were no areas requiring improvement identified at this audit. Two ratings of continuous improvement were awarded in the quality and risk standards for successfully increasing resident satisfaction and staff safety.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trust board meet monthly and are kept informed about all areas of organisational performance. The chief executive officer (CEO) and senior management team are appropriately qualified for their positions and are experienced with working in the aged care sector. There are well established quality and risk management systems which meet the requirements in these standards. </w:t>
      </w:r>
    </w:p>
    <w:p w:rsidRPr="00A4268A">
      <w:pPr>
        <w:spacing w:before="240" w:line="276" w:lineRule="auto"/>
        <w:rPr>
          <w:rFonts w:eastAsia="Calibri"/>
        </w:rPr>
      </w:pPr>
      <w:r w:rsidRPr="00A4268A">
        <w:rPr>
          <w:rFonts w:eastAsia="Calibri"/>
        </w:rPr>
        <w:t xml:space="preserve">The organisation continues to benchmark its quality data against similar services locally and nationally. Risk management systems are fully implemented. All adverse events were being reliably reported and investigated and essential notifications are made when required to WDHB and the Ministry of Health. </w:t>
      </w:r>
    </w:p>
    <w:p w:rsidRPr="00A4268A">
      <w:pPr>
        <w:spacing w:before="240" w:line="276" w:lineRule="auto"/>
        <w:rPr>
          <w:rFonts w:eastAsia="Calibri"/>
        </w:rPr>
      </w:pPr>
      <w:r w:rsidRPr="00A4268A">
        <w:rPr>
          <w:rFonts w:eastAsia="Calibri"/>
        </w:rPr>
        <w:t>Staff are managed according to legislation and good employer practices. New staff are recruited in ways that ensure their suitability for the position. Orientation to the service and its policies and procedures, including emergency systems, is provided to all new staff by the onsite clinical nurse educator (CNE) and senior management. Ongoing staff education is planned and delivered in ways that ensure that staff receive relevant and timely training on subjects related to their roles and the care of older people. Staff attendance at mandatory education sessions is monitored. Ongoing training is available to all staff through in-service teaching sessions, self-directed learning and presentations by external experts. Staff competency assessments and performance appraisals are occurring regularly.</w:t>
      </w:r>
    </w:p>
    <w:p w:rsidRPr="00A4268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who are assessed as requiring hospital, rest home or secure level dementia care. The allocation of registered nurses (RNs) across the site 24 hours a day seven days a week exceeds contractual requirements.</w:t>
      </w:r>
    </w:p>
    <w:p w:rsidRPr="00A4268A">
      <w:pPr>
        <w:spacing w:before="240" w:line="276" w:lineRule="auto"/>
        <w:rPr>
          <w:rFonts w:eastAsia="Calibri"/>
        </w:rPr>
      </w:pPr>
      <w:r w:rsidRPr="00A4268A">
        <w:rPr>
          <w:rFonts w:eastAsia="Calibri"/>
        </w:rPr>
        <w:t>Consumer information management systems meet the required standards. Archived records were being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Tamahere Eventide Home and Village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Qualified personnel,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managed safely. Staff use protective equipment and clothing. Internal and external environments meet the needs of residents and are kept clean and well maintained. Building systems are certified as safe. Electrical equipment is tested regularly.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Chemicals, soiled linen and equipment are safely stored. Regular monitoring and reporting on the outputs from cleaning and laundry services contributes to good standards in these areas. Laundry is undertaken onsite.</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four restraints were in use at the time of audit, these were all bed rails for safety.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0"/>
        <w:gridCol w:w="1280"/>
        <w:gridCol w:w="94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and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had been gained appropriately using the organisation’s standard consent form. Advance care planning, establishing and documenting enduring power of attorney (EPOA) requirements and processes for residents unable to consent is defined and documented. Residents in the dementia units had activated EPOA’s in their records.  General consent forms for day to day care and for special procedures like the influenza vaccine were sighted in reviewed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implemented a private social media channel for the residents and family as an additional tool for contact with residents during the COVID-19 pandemic period.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complaints register showed seven complaints recorded since January 2019. All had been investigated and closed. One matter which had been fully investigated and acknowledged to the family in an open and transparent manner, has subsequently been notified to the Office of the Health and Disability Commissioner (HDC). The organisation has since submitted evidence of the actions taken to address this and is awaiting a response from the HDC. Letters of acknowledgement, ongoing communications and records of investigations for all complaints had been completed within acceptable timeframes. </w:t>
            </w:r>
          </w:p>
          <w:p w:rsidR="00EB7645" w:rsidRPr="00BE00C7" w:rsidP="00BE00C7">
            <w:pPr>
              <w:pStyle w:val="OutcomeDescription"/>
              <w:spacing w:before="120" w:after="120"/>
              <w:rPr>
                <w:rFonts w:cs="Arial"/>
                <w:b w:val="0"/>
                <w:lang w:eastAsia="en-NZ"/>
              </w:rPr>
            </w:pPr>
            <w:r w:rsidRPr="00BE00C7">
              <w:rPr>
                <w:rFonts w:cs="Arial"/>
                <w:b w:val="0"/>
                <w:lang w:eastAsia="en-NZ"/>
              </w:rPr>
              <w:t>The CEO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residents and family/whanau reported being made aware of the Code and the Nationwide Health and Disability Advocacy Service (Advocacy Service) as part of the admission information provided and discussion with the staff during the admission process. The Code is displayed on notice boards around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to maintain privacy during provision of care throughout the audit. All residents have a private room. Shared facilities like bathrooms and toilets have signs that can be used when engaged to allow for residents’ privacy.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encouraged to maintain their independence for tasks they can do independently for personal cares, by attending to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identified as Maori on the days of the audit. Staff support residents who identify as Māori to integrate their cultural values and beliefs. The principles of the Treaty of Waitangi are incorporated into day to day practice, as is the importance of whānau. There is a current Māori health plan developed with input from cultural advisers. A cultural assessment was completed for all residents who identify as Maori and a Maori health care plan developed as required. Guidance on tikanga best practice was available and was supported by staff who identify as Māori in the facility and a Māori cultural advisor who was engaged by the organisation.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residents’ spiritual needs.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and Village encourages and promotes good practice through evidence-based policies, input from external specialist services and allied health professionals, for example, hospice/palliative care team, wound care specialist, psychogeriatrician and mental health services for older persons, and education of staff. The organisation has a dedicated clinical nurse education whose responsibility is to ensure annual staff education is completed for all staff and professional development for all qualified staff. The general practitioner (GP) and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employment of rehabilitation therapist who assists with functional assessments and provide regular exercise sessions for residents. During the COVID-19 pandemic restrictions, the service changed the roster to accommodate staff and residents’ bubbles to maintain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longer-term objectives and the associated plans for the two large-aged care facilities owned and operated by Tamahere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board reports and interviews with senior management confirmed that detailed written and verbal information is provided to the board at least monthly. This information includes all aspects of the organisation’s performances and includes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commencement of hospital service delivery at the Tamahere site in January 2020 occurred seamlessly and this new service stream with an additional 24 beds has been successfully incorporated into the day to day operations.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overseen by a CEO who holds business and management qualifications and has been in the role for 24 years. Responsibilities and accountabilities are described in a job description and individual employment agreement. The CEO demonstrated knowledge of the sector, regulatory and reporting requirements and maintains currency through regular meetings with others in the aged care sector. The GM care services is a registered nurse with extensive experience in the delivery of age care services. This person attends regular forums in the age care sector and ongoing education in management and the clinical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well as the Age Residential Care Contract (ARCC) for hospital, rest home, and dementia level care, to a maximum capacity of 107 beds, the organisation holds agreements with WDHB for residential respite services, long term support-chronic health conditions and community day programme services. Tamahere Eventide Home is also a dedicated education unit in partnership with the DHB and a tertiary provider for student nursing practicum placements.  </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audit there were 102 residents occupying beds. Forty-one residents were assessed as requiring secure care across the two dementia units, 37 were receiving rest home level care and all of the 24 hospital beds were full. Three of the 102 residents were there for short stay/respite, one in dementia care and two in rest home beds. These numbers were consistent with the Level of Care report held in the interRAI system. All residents were over the age of 65 years. There is a large retirement village on site. The CEO advised there were no retirement village residents with an occupation right agreement receiving care services in their homes.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CEO, senior management and other staff confirmed that temporary cover during the CEO’s planned absences is delegated to the General Manager (GM) Care services or the GM Support Services. One of the two clinical nurse leaders covers for the GM Care services and their roles are temporarily filled by a senior RN. Staff stated these arrangements were proven to be effective and ensured continuity for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well-established quality and risk system which reflects the principles of continuous quality improvement. Responsibility for quality is shared across the senior management team with staff input at various stages. The system includes collation of key performance indicators/quality data which is submitted quarterly for comparison with like size age care facilities across New Zealand. The CEO and GM Care Services review and analyse all incidents, infections and complaints, and the results of resident and family satisfaction surveys for trends or areas requiring improvement. Criterion 1.2.3.7 is rated as continuous improvement for increased resident satisfaction.</w:t>
            </w:r>
          </w:p>
          <w:p w:rsidR="00EB7645" w:rsidRPr="00BE00C7" w:rsidP="00BE00C7">
            <w:pPr>
              <w:pStyle w:val="OutcomeDescription"/>
              <w:spacing w:before="120" w:after="120"/>
              <w:rPr>
                <w:rFonts w:cs="Arial"/>
                <w:b w:val="0"/>
                <w:lang w:eastAsia="en-NZ"/>
              </w:rPr>
            </w:pPr>
            <w:r w:rsidRPr="00BE00C7">
              <w:rPr>
                <w:rFonts w:cs="Arial"/>
                <w:b w:val="0"/>
                <w:lang w:eastAsia="en-NZ"/>
              </w:rPr>
              <w:t>Outcomes of service performance monitoring via regular internal audits of clinical files, medicines, and residents’ lifestyle are shared with all staff. Where the audits identify a need for improvement, the causes are researched, and remedial actions are agreed and implemented. This was confirmed by review of a sample of staff meeting minutes, in memos/time target messages and other forms of communication and by pictorial graphs displayed on the staff room walls.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and information is reported and discussed at regular staff meetings. Staff reported their involvement in quality and risk management activities through audit activities, training and information shared at meetings. The GM Care Services keeps staff informed about areas requiring improvement or policy/process changes by memos and verbally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used are a generic system moderated by an external quality consultant and these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 current risk management plan is monitored by the CEO and the Board. All staff are conversant with the Health and Safety at Work Act (2015) and demonstrated knowledge of the requirements for identification, monitoring, review and reporting of risks and development of mitigation strategies. Criterion 1.2.3.8 is rated continuous improvement for the decrease in staff injuries and other successful initiatives that prevent harm.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established and managed processes for the reporting, recording, investigation and review of all incidents and accidents. Review of onsite documents and interviews with staff and management confirmed these are reviewed and discussed at staff meetings and then trended and further evaluated quarterly by the CEO and other senior managers. The number of resident falls per group (rest home, dementia and hospital) are monitored for trends and reported to the board monthly. Concerted efforts with falls prevention strategies is revealing decreases in the number of falls in each area. For example, rest home falls with an average rate of 13% in 2019 are now tracking at 9% and in dementia care from an average 21.34% last year to 16% in the last quarter. All events considered preventable are reviewed in depth and strategies are implemented to prevent recurrence.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during this audit confirmed that incidents are discussed at shift handover, and trending data is displayed in the staff room.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CEO is responsible for essential notifications and reporting and understood the statutory and regulatory obligations under Section 31 of the Health and Disability Service (Safety) Act 2001. A notification related to a change of personnel in the senior leader clinical position was submitted in early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The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The methods for orientation continue to be reviewed to ensure all new staff complete essential education and are skills assessed before starting work. The monthly orientation days have been replaced with providing orientation to small groups of new employees as soon as possible to prevent delays in getting staff started in their roles. New staff reported that the orientation process prepared them well for their role. All the staff records reviewed contained records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is successively maintaining its status as a ‘dedicated education unit’ in agreement with the Waikato DHB and WINTEC the local tertiary provider of nursing education. This provides nursing students with valuable learning experiences, increases and enhances the level of care provided to residents (as demonstrated by an evaluative study completed in 2016) and assists the service provider with the recruitment and retention of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Education for all levels of staff is planned on an annual basis, which includes staff attending a day of mandatory training. All care staff are expected to commence age care sector training, as outlined in their pay equity settlement three months after commencing employment, if they do not already have qualifications. The clinical nurse educator is an authorised moderator of the education programme provided on site. Records reviewed demonstrated completion of the required training. Of the 73 caregivers, 28 have completed level 4 of the National certificate in Health and Wellness, 14 are at level 3, 10 at level 2 and 21 are new employees or have equivalent experience or qualifications. All care staff working in the dementia units have commenced or completed advanced level 4 and dementia qualifications. Each of the staff files reviewed contained evidence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Nine of the 21 RNs are maintaining annual competency requirements to undertake InterRAI assessments and two more are enrolled to undertake training. The service provider is aiming to have all RNs trained in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rosters with the person who manages the roster and interviews with management confirmed that the number of staff allocated on each shift in the hospital, rest home and both secure units exceeds the required contractual staffing levels. Four caregivers and one RN are rostered on for morning and afternoon shifts to work in the hospital wing (24 beds) and for rest home residents (maximum 41 residents). Three carers are allocated to each of the dementia units (maximum 20 residents) for the same shifts. Night-time allocation is one caregiver in each area/wing and two RNs-one in the hospital and one for rest home dementia, with another RN on call.</w:t>
            </w:r>
          </w:p>
          <w:p w:rsidR="00EB7645" w:rsidRPr="00BE00C7" w:rsidP="00BE00C7">
            <w:pPr>
              <w:pStyle w:val="OutcomeDescription"/>
              <w:spacing w:before="120" w:after="120"/>
              <w:rPr>
                <w:rFonts w:cs="Arial"/>
                <w:b w:val="0"/>
                <w:lang w:eastAsia="en-NZ"/>
              </w:rPr>
            </w:pPr>
            <w:r w:rsidRPr="00BE00C7">
              <w:rPr>
                <w:rFonts w:cs="Arial"/>
                <w:b w:val="0"/>
                <w:lang w:eastAsia="en-NZ"/>
              </w:rPr>
              <w:t>Two Clinical Nurse Leaders (CNL) are onsite Monday to Friday to oversee the care being delivered to hospital and rest home residents and for residents in the two secure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least at least two other RNs on site 24 hours a day, seven days a week (24/7). All RNs are maintaining comprehensive first aid certificates and a large number of care staff have the level 1 first aid certificate, which mean there is always a first aid certified staff member on duty.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said there were sufficient numbers of staff for the needs of the residents allocated across all shifts. Additional staff are rostered on when workloads increase for any reason. The organisation has succeeded in eliminating the number of times it needs to use agency staff by growing their pool of casual RNs and care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appropriate number of dedicated auxiliary staff (for example, cooks, cleaners, management, administration and maintenance staff) for the size and scope of the service. One diversional therapy (DT) staff are rostered in each of the secure units seven days a week from 9.30am-7.30pm. The hospital has a dedicated DT for six hours each weekday and four hours on the weekend.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electronically managed with copies of nursing, GP and allied health assessments and care plans kept in residents’ files. 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Staff had individual passwords to access the electronic residents’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hard copy residents’ records were kept securely in locked cupboard. No personal or private resident information was on public display during the audit. Archived records were held securely on site and were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paper records are held for the required period before being destroyed.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process is managed by the clinical nurse leaders (CNLs) and their assistant. 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GP for residents accessing respite care. Enquiry records are maintained and follow up completed by the CNLs. The EPOAs for residents in the dementia units have consented for admission.</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residents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was completed.  Family of the resident reported being kept well informed during the transfer of their relative.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Tamahere Eventide Home and Village has a safe system for medicine management using an electronic system that was observed on the days of audit. The RNs’ observed demonstrated good knowledge and had a clear understanding of their roles and responsibilities related to each stage of medicine management.  All staff who administer medicines were competent to perform the function they manage. Current medication administration competencies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was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used, were current and complied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were in place to ensure this was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documented, analysed and corrective actions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hands and was in line with recognised nutritional guidelines for older people. The menu follows summer and winter patterns in a six-weekly cycle and has been reviewed by a qualified dietitian in May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Waikato District Council. Food temperatures, including for high risk items, were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Nutritional assessments were completed for each resident on admission to the facility, any allergies were identified, and a dietary profile developed.  The personal food preferences, any special diets and modified texture requirements were made known to kitchen staff and accommodated in the daily meal plan.  Residents in the secure dementia units always have access to food and fluids in a 24-hour period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reported that if a referral is received but the prospective resident does not meet the entry criteria or there is no vacancy, the local NASC is advised to ensure the prospective resident and family are supported to find an appropriate care alternative. The resident and/family, where appropriate are informed of the reason for the decline.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Behaviour management plans were implemented for residents in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diversional therapy notes, medical and allied health professionals’ notations clearly written, informative and relevant.  Any change in care required was documented and verbally passed on to relevant staff. Residents in the dementia unit had their EPOA’s involved in planning their care.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and NP interviewed, verified that medical input is sought in a timely manner, that medical orders are followed, and care is implemented promptly.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seven trained diversional therapists (DTs) holding the national Certificate in Diversional Therapy. Each wing has a DT allocated and most activities are provided in separate wings and combined activities are held when there are outside entertainers invited. Residents’ needs, interests, abilities and social requirements were identified through a social history assessment by the DTs. Activities assessments were regularly reviewed to help formulate an activities programme that was meaningful to the residents. Six-monthly residents’ needs evaluation was completed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were offered. Residents and families/whānau were involved in evaluating and improving the programme through residents’ meetings and satisfaction surveys. Residents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units were specific to the needs and abilities of the people living with dementia. Activities were offered at times when residents were most physically active and/or restless. This includes van rides, exercises, games, quiz, pampering, relaxing music, sensory stimulation and garden walks.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electronically. Interviewed care staff reported that any changes were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the six-monthly interRAI reassessment, or as residents’ needs change. Where progress was different from expected, the service responded by initiating changes to the plan of care. Examples of short-term care plans being consistently reviewed, and progress evaluated as clinically indicated were noted for urinary infections, respiratory infections and wounds. Unresolved problems were added to long term care plans.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contracted GP services and residents are encouraged to enrol with the service’s GP. If the need for other non-urgent services are indicated or requested, the GP or RNs sends a referral to seek specialist input. Copies of referrals were sighted in residents’ files, including to mental health team, hospice, physiotherapy, and cardiologists.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range of cleaning chemicals is in use. The products are provided in containers that minimise and prevent the risk of chemical spills and the wrong product being used. Another safety feature is that the containers cannot be opened without being connected to the trigger mechanism. An external company is contracted to supply and manage all chemicals and cleaning products and provide information about each to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ample provision and availability of protective clothing and equipment and staff were observed to be using this. Care staff and RNs were continuing to don masks before coming into close contact with residents and changing in and out of uniforms on site to prevent infection transmission.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code of compliance is on public display which confirms the safety of building systems until 23.07 21. Emails from external contractors confirmed that this meets the building regulations since the usual issue of an annual building warrant of fitness has been impacted by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continues to invest in new approaches that maximize environmental safety, eliminating hazards, keeping residents safe and promoting their independence. For example, extra depth artificial grass was procured to minimise the impact of resident falls in an external area in one of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Each of the 24 hospital rooms has a fully accessible bathroom and there is a large bathroom with a bed bath and spa bath (with ceiling hoist) in the new hospital wing. Nineteen rest home rooms have ensuite bathrooms plus there are another 11 bathrooms available for a total of 40 residents. The two dementia units have at three clearly identified toilets for resident use (in each unit) and at least three showers. There are five staff and visitors’ ablutions located throughout the building. Appropriately secured and approved handrails are provided in the toilet/shower areas, and other equipment/accessories are available to promote residents’ independence.  Hot water temperature monitoring occurs monthly in all areas. Records of these showed that temperatures do not exceed 45 degrees Celsius.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Some of the older rest home rooms have adjoining doors if a couple desired neighbouring rooms.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rest home bedroom wing is readily accessible to activity areas, a choice of lounges, the chapel and the centrally located dining room. The hospital wing and both secure units have their own lounge and dining areas. Residents and family members interviewed expressed satisfaction with the layout of the facility and communal areas. Residents were observed to be mobilising independently to utilise all areas within the facility on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services are safe and are monitored for effectiveness via internal audits and by the external chemical provider. Policies and procedures clearly described the expected practices and are understood by staff. Cleaning and laundry staff are on site seven days a week for enough hours to complete the tasks allocated each day. There are designated areas for secure storage of cleaning and laundry chemicals. A new and reportedly safer system for chemicals has been implemented (refer criterion 1.4.1) Personnel records and staff interviews confirmed training is provided in safe handling of chemicals; there have been no incidents of harm related to chemicals reported. </w:t>
            </w:r>
          </w:p>
          <w:p w:rsidR="00EB7645" w:rsidRPr="00BE00C7" w:rsidP="00BE00C7">
            <w:pPr>
              <w:pStyle w:val="OutcomeDescription"/>
              <w:spacing w:before="120" w:after="120"/>
              <w:rPr>
                <w:rFonts w:cs="Arial"/>
                <w:b w:val="0"/>
                <w:lang w:eastAsia="en-NZ"/>
              </w:rPr>
            </w:pPr>
            <w:r w:rsidRPr="00BE00C7">
              <w:rPr>
                <w:rFonts w:cs="Arial"/>
                <w:b w:val="0"/>
                <w:lang w:eastAsia="en-NZ"/>
              </w:rPr>
              <w:t>New cleaning equipment has been purchased to maximise resident and staff safety. This comprises cordless and ‘backpack’ vacuum cleaners to prevent tripping and reduce back strain for staff. New ‘wonder mops’ and steam cleaners that reduce the amount of wet areas left on floors have replaced the older style mops. The number of staff back and shoulder injuries has reduced by 50% (refer to the CI rating in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Ironically the system for laundry which was outsourced in 2014 and deemed a success, was taken back in house in 2019 as a result of resident and relative feedback. Reverting back to an onsite system has immediately reduced complaints about loss and damage and residents are thrilled to have their personal laundry cleaned and returned to them on the same day. The extra demand on cleaning and laundry from the addition of 24 more beds has been successfully catered for by allocating additional staff or staffing hours. For example, there is an extra laundry staff member on site each day who folds and distributes clean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has clearly described emergency plans which are updated whenever the service or the site is reconfigured. Onsite inspection and interviews revealed that the emergency and security systems are intact and known by all levels of staff.  Fire safety and evacuation are included at orientation and six-monthly fire evacuation drills occur. Staff attendance at least one fire drill each year is monitored by the CNE and checked during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updated to include the new hospital wing and approved by Fire and Emergency NZ in December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GM support service and maintenance staff and inspection of the emergency/civil defence stores confirmed there was sufficient stock of water, food, equipment and essential supplies in the event of a natural disaster. There is 310,000 litres of accessible water on site which well exceeds the recommendations set for the region by the Ministry of Civil Defence and Emergency Management. All buildings are fitted with emergency back-up lighting and two onsite generators which initiate automatically in the event of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was observed to be functional during the onsite audit and residents interviewed said that staff respond to call bells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call activations from village residents are attended to by staff employed for the village during business hours. After this time, the calls have been coming through to staff in the rest home. Although these activations seldom occur (on average once a month) and there are sufficient staff on site to respond, the leadership team are investigating external services to triage village call bells. </w:t>
            </w:r>
          </w:p>
          <w:p w:rsidR="00EB7645" w:rsidRPr="00BE00C7" w:rsidP="00BE00C7">
            <w:pPr>
              <w:pStyle w:val="OutcomeDescription"/>
              <w:spacing w:before="120" w:after="120"/>
              <w:rPr>
                <w:rFonts w:cs="Arial"/>
                <w:b w:val="0"/>
                <w:lang w:eastAsia="en-NZ"/>
              </w:rPr>
            </w:pPr>
            <w:r w:rsidRPr="00BE00C7">
              <w:rPr>
                <w:rFonts w:cs="Arial"/>
                <w:b w:val="0"/>
                <w:lang w:eastAsia="en-NZ"/>
              </w:rPr>
              <w:t>Entry and exit to TEH is secured by a perimeter fence and electronic gates. There are closed circuit television recording systems in the common areas and hallways (which residents and/or the people authorised to consent for them) have agreed to. The site is also patrolled during the night by a security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inspected were light, airy and at a comfortable temperature on the days of audit. Each room has at least one opening window and all bedrooms have the ability to adjust the amount of heat being radiated by the central heating system or by heat pumps. There have been no concerns raised about the internal winter or summer temperatures. Residents interviewed said they were comfortable in their rooms and in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and Village has implemented an infection prevention and control (IPC) programme to minimise the risk of infection to residents, staff and visitors.  The programme is guided by a comprehensive and current infection control manual, with input from external infection control specialists. The infection control programme and manual were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CNE is the designated IPC coordinator, whose role and responsibilities are defined in their job description and infection control policy. Infection control matters, including surveillance results, are reported monthly to the chief executive officer (CEO) and GM care services and tabled at the quality and risk committee meeting. This committee includes the GM care services,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She has completed training in infection prevention and control and has attended relevant study days, as verified in training records sighted. Additional support and information are accessed from the infection control team at the DHB, the community laboratory, the GP and public health unit, as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Adequate resources were sighted on site on the days of the audit. COVID-19 pandemic infection control measures and monitoring processes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were last reviewed in January 2020 and included appropriate referencing.  The COVID-19 pandemic plan was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CNE.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An example of this occurred when there was an outbreak of Norovirus in 2019. Appropriate notification was completed. Additional education was provided for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was on a one-to-one basis and has included reminders about handwashing, use of hand sanitisers,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the upper and lower respiratory tract and scabies. The IPC coordinator reviews all reported infections, and these are documented. New infections and any required management plan were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was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months and this was reported to the clinical nurse leaders, all staff and IPC committee.  Data is benchmarked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Learnings from COVID-19 pandemic symptom monitoring measures have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These provide guidance on the safe use of both restraints and enablers. Tamahere Eventide Home used to have a philosophy and practice of no restraint previous to delivering hospital level care. Each of the newly acquired hospital beds has in built bedrails which are used when required for resident safety according to the documented procedures. The hospital/rest home CNL is the designated restraint coordinator. This person provides support and oversight for enabler and restraint management in the facility and demonstrated a sound understanding her role and responsibilities and the organisation’s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four residents were using bedrails as restraints and one rest home resident had a bedrail being used voluntarily at their request as an enabler. The same processes for assessment, consent and monitoring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clinical files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and GP are responsible for approving the use of restraints and overall restraint processes. Residents’ files and interviews with the coordinator confirmed there are clear lines of accountability, that all restraints have been approved before use, and that the overall use of restraint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to the level of detail required in this standard. An RN undertakes the initial assessment with the restraint coordinator’s involvement, and input from the resident’s family/whānau/EPOA.  The restraint coordinator and another RN interviewed readily described all aspects of the assessment process. Families interviewed confirmed their knowledge and involvement in the process. The general practitioner is involved and makes the final decision on use of the restraint. The assessment process identified the underlying cause, history of restraint use, cultural considerations, alternatives and associated risks. The desired outcome was to ensure the resident’s safety and security. Completed assessments were sighted in each of the four clinical records for the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regular monitoring occurs to ensure the resident remains safe. The monitoring records contained all expected and necessary details. Access to advocacy is provided if requested and processes to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RN meeting. The register accurately recorded all residents currently using a restraint and sufficient information to provide an auditable record (for example, the type off restraint, date of commencement, and date for review or when it was stopped).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and at RN meetings.  Families interviewed confirmed their involvement in the evaluation process and said they were happy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this standard, including future options to eliminate use, the impact and outcomes achieved, if the policy and procedure was followed and that documentation was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use is reported at RN, quality/risk and general staff meetings.  Minutes of the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GP or nurse practitioner, staff and families. The service has been using restraints for less than six months and was preparing to conduct their first formal quality review of restraint practice at the time of audit. The mechanisms in place for reviewing compliance with procedures, reporting at staff and quality meetings and review of the individual restraints in use meet this requirement in the interim.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35"/>
        <w:gridCol w:w="1280"/>
        <w:gridCol w:w="5590"/>
        <w:gridCol w:w="2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Home (TEH) evaluates the quality of its care against the same set of clinical indicators every quarter. The ratings from these indicators allow them to measure positive or negative trends and also compare themselves with other similar sized aged care services across New Zealand. The organisation compares very favourably and consistently sits in the top range. The most recent clinical file audits and the resident lifestyle index scored 95% and 92.5% respectively. Another example of service improvement is the total number of interRAI assessments completed on time. In 2019 this averaged 93%, this year the average score is 98%, despite the interruption during Covid-19.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 of the 2020 Resident Experience survey showed a 4% increase in satisfaction. All of the 13 areas surveyed scored higher than 85% with an overall increase from the previous 2019 result from 85.83 % to 89.20 %. Care approach, medical and therapy, general living accommodation, wellbeing and overall satisfaction all rated highly in the 90-percentile range. The most significant increase in scores was for cleaning and laundry, which was attributed to bringing laundry services back in house. </w:t>
            </w:r>
          </w:p>
          <w:p w:rsidR="00EB7645" w:rsidRPr="00BE00C7" w:rsidP="00BE00C7">
            <w:pPr>
              <w:pStyle w:val="OutcomeDescription"/>
              <w:spacing w:before="120" w:after="120"/>
              <w:rPr>
                <w:rFonts w:cs="Arial"/>
                <w:b w:val="0"/>
                <w:lang w:eastAsia="en-NZ"/>
              </w:rPr>
            </w:pPr>
            <w:r w:rsidRPr="00BE00C7">
              <w:rPr>
                <w:rFonts w:cs="Arial"/>
                <w:b w:val="0"/>
                <w:lang w:eastAsia="en-NZ"/>
              </w:rPr>
              <w:t>There are very few complaints considering the size and complexity of the service (seven complaints in 22 months for 102 beds), no significant events have had to be notified under section 31 and the feedback from residents and families interviewed was very positive.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overall satisfaction has increased another 4% this year as a result of efforts made to improve the services delivered to them. Residents rated their experiences higher than 85% in all areas surveyed and in the 90-percentile range for care, treatment, accommodation, wellbeing and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identification and mitigation processes for residents, visitors, and staff at TEH are well embedded and are proving to be effective in achieving above the desired results. The effectiveness of the system and its component parts (risk management plan, policies, hazard register, environmental inspections, staff knowledge and adherence to safe practices) are moderated by an actively engaged health and safety team who have the authority to take immediate actions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2020 employee survey showed an overall increase in staff satisfaction from 84.97% in 2019 to 88.31% in 2020, with their perception of Workplace Health and Safety increased from 89% to 91%.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 data revealed that staff injuries had reduced 50% since implementing new systems for cleaning and laundry. Refer to evidence in standard 1.4.6.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also focused on raising awareness of and preventing workplace bullying, through regular education, promoting teamwork, ensuring a fair and equitable working environment, and celebrating success in these areas.</w:t>
            </w:r>
          </w:p>
          <w:p w:rsidR="00EB7645" w:rsidRPr="00BE00C7" w:rsidP="00BE00C7">
            <w:pPr>
              <w:pStyle w:val="OutcomeDescription"/>
              <w:spacing w:before="120" w:after="120"/>
              <w:rPr>
                <w:rFonts w:cs="Arial"/>
                <w:b w:val="0"/>
                <w:lang w:eastAsia="en-NZ"/>
              </w:rPr>
            </w:pPr>
            <w:r w:rsidRPr="00BE00C7">
              <w:rPr>
                <w:rFonts w:cs="Arial"/>
                <w:b w:val="0"/>
                <w:lang w:eastAsia="en-NZ"/>
              </w:rPr>
              <w:t>Ongoing improvements to safety in the residents’ environment is cited in the evidence for Standard 1.4.2, and improved systems for the prevention of resident injury from falls is cited in the continuum of care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Furthermore, the organisation continues to provide a higher numbers of registered health professionals on each shift than they are contractually required to.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Mitigation of actual and potential risks for residents, visitors and staff is effective in reducing injury as demonstrated in the results from performance monitoring. Systems are regularly evaluated, and changes are implemented immediately to prevent harm from injury.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Tamahere Eventide Home Trust - Tamahere Eventide Home &amp; Village</w:t>
    </w:r>
    <w:bookmarkEnd w:id="58"/>
    <w:r>
      <w:rPr>
        <w:rFonts w:cs="Arial"/>
        <w:sz w:val="16"/>
        <w:szCs w:val="20"/>
      </w:rPr>
      <w:tab/>
      <w:t xml:space="preserve">Date of Audit: </w:t>
    </w:r>
    <w:bookmarkStart w:id="59" w:name="AuditStartDate1"/>
    <w:r>
      <w:rPr>
        <w:rFonts w:cs="Arial"/>
        <w:sz w:val="16"/>
        <w:szCs w:val="20"/>
      </w:rPr>
      <w:t>19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