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Portwell Care Limited - Cook St Nursing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Portwell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Cook St Nursing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October 2020</w:t>
      </w:r>
      <w:bookmarkEnd w:id="7"/>
      <w:r w:rsidRPr="009418D4">
        <w:rPr>
          <w:rFonts w:cs="Arial"/>
        </w:rPr>
        <w:tab/>
        <w:t xml:space="preserve">End date: </w:t>
      </w:r>
      <w:bookmarkStart w:id="8" w:name="AuditEndDate"/>
      <w:r w:rsidR="00A4268A">
        <w:rPr>
          <w:rFonts w:cs="Arial"/>
        </w:rPr>
        <w:t>30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Cook Street Nursing Care Centre provides rest home and hospital level care for up to 30 residents. The service is operated by Portwell Care Limited. The facility is managed by the owner who is a registered nurse.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management, staff and a general practitioner.</w:t>
      </w:r>
    </w:p>
    <w:p w:rsidRPr="00A4268A">
      <w:pPr>
        <w:spacing w:before="240" w:line="276" w:lineRule="auto"/>
        <w:rPr>
          <w:rFonts w:eastAsia="Calibri"/>
        </w:rPr>
      </w:pPr>
      <w:r w:rsidRPr="00A4268A">
        <w:rPr>
          <w:rFonts w:eastAsia="Calibri"/>
        </w:rPr>
        <w:t>A continuous improvement rating continues to be awarded for the activities programme.</w:t>
      </w:r>
    </w:p>
    <w:p w:rsidRPr="00A4268A">
      <w:pPr>
        <w:spacing w:before="240" w:line="276" w:lineRule="auto"/>
        <w:rPr>
          <w:rFonts w:eastAsia="Calibri"/>
        </w:rPr>
      </w:pPr>
      <w:r w:rsidRPr="00A4268A">
        <w:rPr>
          <w:rFonts w:eastAsia="Calibri"/>
        </w:rPr>
        <w:t>An area requiring improvement from this audit relates to competencies for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interpreters via the interpreter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 There has been a complaint investigation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Portwell Care Limited is the governing body and is responsible for the services provided. There is a business plan that documents a vision, direction and goals. Systems are in place for monitoring the services provided. </w:t>
      </w:r>
    </w:p>
    <w:p w:rsidRPr="00A4268A">
      <w:pPr>
        <w:spacing w:before="240" w:line="276" w:lineRule="auto"/>
        <w:rPr>
          <w:rFonts w:eastAsia="Calibri"/>
        </w:rPr>
      </w:pPr>
      <w:r w:rsidRPr="00A4268A">
        <w:rPr>
          <w:rFonts w:eastAsia="Calibri"/>
        </w:rPr>
        <w:t>The owners work in the business; one is a registered nurse and has the position of facility manager/clinical director and the other is responsible for the overall operation of the facility. The facility manager is an experienced registered nurse who has managed other aged care facilities and is involved in a number of health and aged care committees. The facility manager is responsible for the clinical services and is supported by a clinical nurse leader.</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Staff and resident meetings are held.</w:t>
      </w:r>
    </w:p>
    <w:p w:rsidRPr="00A4268A">
      <w:pPr>
        <w:spacing w:before="240" w:line="276" w:lineRule="auto"/>
        <w:rPr>
          <w:rFonts w:eastAsia="Calibri"/>
        </w:rPr>
      </w:pPr>
      <w:r w:rsidRPr="00A4268A">
        <w:rPr>
          <w:rFonts w:eastAsia="Calibri"/>
        </w:rPr>
        <w:t>There are policies and procedures on human resources management. Human resource processes are followed. An in-service education programme is provided, and staff performance is monitored. Care staff are encouraged to complete the New Zealand Qualifications Authority Unit Standards. Staffing levels exceed the contracted requirements.</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facility manager is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On admission to Cook St Nursing Care Centre, residents have their needs assessed by the multidisciplinary team within the required timeframes. </w:t>
      </w:r>
    </w:p>
    <w:p w:rsidRPr="00A4268A" w:rsidP="00621629">
      <w:pPr>
        <w:spacing w:before="240" w:line="276" w:lineRule="auto"/>
        <w:rPr>
          <w:rFonts w:eastAsia="Calibri"/>
        </w:rPr>
      </w:pPr>
      <w:r w:rsidRPr="00A4268A">
        <w:rPr>
          <w:rFonts w:eastAsia="Calibri"/>
        </w:rPr>
        <w:t xml:space="preserve">Care plans are individualised, based on a range of integrated information. Short term care plans are developed to manage any new problems that might arise. All residents’ files reviewed demonstrated that needs, goals, and outcomes are identified and reviewed on a regular basis. Shift handovers and communication sheets guide continuity of care.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run by diversional therapist. The programme provides residents with a variety of individual and group activities and focuses on maintaining residents’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and implemented using an electronic medication management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was one resident using an enabler and no residents using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trended, benchmarked and results reported at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available at the main entrance.  Residents and families stated that communication about anything they are concerned about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interview of the facility manager (FM) evidenced no complaints have been received in the past 12 months.  Review of documentation evidenced complaints are managed well and timeframes met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investigation by the DHB concerning the care of a resident since the previous audit. A response to the complaint was provided to the DHB on the 27 July 2019. An email dated 2 October 2019 from the DHB included the outcome and advising the complaint was partially substantiated with recommendations. A response from the manager was reviewed and evidenced the recommendations were already in place. The complaint investigation is now closed.</w:t>
            </w:r>
          </w:p>
          <w:p w:rsidR="00EB7645" w:rsidRPr="00BE00C7" w:rsidP="00BE00C7">
            <w:pPr>
              <w:pStyle w:val="OutcomeDescription"/>
              <w:spacing w:before="120" w:after="120"/>
              <w:rPr>
                <w:rFonts w:cs="Arial"/>
                <w:b w:val="0"/>
                <w:lang w:eastAsia="en-NZ"/>
              </w:rPr>
            </w:pPr>
            <w:r w:rsidRPr="00BE00C7">
              <w:rPr>
                <w:rFonts w:cs="Arial"/>
                <w:b w:val="0"/>
                <w:lang w:eastAsia="en-NZ"/>
              </w:rPr>
              <w:t>A letter from the Health and Disability Commissioner (HDC) dated 13 August 2020 was reviewed requesting information relating to a resident. The letter notes it was not a complaint investigation about Cook Street Nursing Care Centre. Information was sent to the HDC on the 31 August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stated they were kept well informed about any changes to their/their relative’s status and outcomes of regular and any urgent medical reviews. This was supported in the residents’ files reviewed. Staff understood the principles of open disclosure, which is supported by policy and procedures that meet the requirements of the Code of Health and Disability Services Consumers’ Rights (the Code). Innovative ways of communicating with families include via ‘Facebook’ live feeds, group emails and texting.</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interpreter service when required. The facility manager (FM) advised residents’ family members and staff can act as interpreters, where appropriate. There were no residents requiring an interpreter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Portwell Care Limited is responsible for the services provided.  A business plan includes personal and facility wide visions, five goals with timeframes for review and includes a purpose, scope and direction. The owners are on site every day and the FM and clinical nurse leader (CNL) meet each day to discuss all matters relating to clinical governance. The FM and CNL were observed in constant communication throughout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one of the owners who is an experienced registered nurse with extensive aged care experience. The FM is involved in various health and aged care committees and holds advisory positions including planning at the DHB during the Covid-19 outbreak. The CNL has been in their position for two years and prior to that was an RN on the floor for two years. The FM reported that HealthCERT has been advised of the change of CNL. The CNL spends time on and off the floor. The CNL’s file evidenced appropriate ongoing education. The RN is supported by the CNL.</w:t>
            </w:r>
          </w:p>
          <w:p w:rsidR="00EB7645" w:rsidRPr="00BE00C7" w:rsidP="00BE00C7">
            <w:pPr>
              <w:pStyle w:val="OutcomeDescription"/>
              <w:spacing w:before="120" w:after="120"/>
              <w:rPr>
                <w:rFonts w:cs="Arial"/>
                <w:b w:val="0"/>
                <w:lang w:eastAsia="en-NZ"/>
              </w:rPr>
            </w:pPr>
            <w:r w:rsidRPr="00BE00C7">
              <w:rPr>
                <w:rFonts w:cs="Arial"/>
                <w:b w:val="0"/>
                <w:lang w:eastAsia="en-NZ"/>
              </w:rPr>
              <w:t>The service’s philosophy is in an understandable form and is available to residents and their family/representative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accommodation for 30 residents. On the day of this audit there were 29 residents.  Three hospital level residents under the health recovery contract, one resident under the respite contract, two hospital level residents under the age of 65 years under the long-term chronic health contract and twenty-three residents under the age-related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Seven beds have been approved as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that guides the quality programme. Risk management activities are appropriate for the size and scope of the organisation. Quality data is collected, collated, analysed and corrective action plans developed in response to identified issues in a range of ways, including audits, incident/accident reports, complaints, surveys and deficits identified from meetings. Quality data is graphed month by month by the FM and is available for staff. Staff stated they discuss trends and corrective actions at the staff meetings and at handover. The FM demonstrated sound knowledge relating to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have been sent out electronically and resident and their families have responded. All responses reviewed demonstrated a high level of satisfaction and were very complementary of the care provided. Families are kept in touch with regular emails, ‘zoom’ and ‘Facebook’. Resident meetings minutes evidenced these were held prior to the Covid-19 lock down and have now resumed. Quality and risk management issues are reported and discussed with the owners and at the facility meetings. Review of the meeting minutes confirmed this. The communication book evidenced detailed information and communication documented by the FM for staff.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imbedded and are relevant to the scope and complexity of the service, reflected current accepted good practice and reference legislative requirements. Policies and procedures are reviewed three yearly have footers that showed they were current. New / reviewed policies are available for staff to read and sign off once read. Staff meetings were not held over the Covid-19 lock down and have now resumed. Staff interviewed confirmed this.  Staff also confirmed the policies and procedures provided appropriate guidance for service delivery and they were advised of new policies / revised policies. Obsolete documents are archived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policy covers all aspects of health and safety management.  Actual and potential risks are identified and documented in the hazard register. The register identifies hazards and risks including but not limited to clinical, environmental, staffing and financial, and showed the actions put in place to minimise or eliminate risks. Newly found hazards/risks are communicated to staff. Hazards and safety issues are discussed at staff meetings. The health and safety representative is the FM who demonstrated a sound knowledge of health and safety. Staff confirmed they understood and implemented documented hazard/risk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accident/event form. All forms are reviewed by the RN on duty and the family contacted as appropriate. The CNL is responsible for completing a full review with overview from the FM. Incidents/accidents are investigated, action plans developed and actions followed-up in a timely manner.  Adverse event data is collated and analysed by the FM and trends shared with staff through meetings, handover, memos and emails. Graphs are generated and give good information for staff. </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and health and safety issues.  There have been no notifications of significant events made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are managed well and included job descriptions which outline accountability, responsibilities and authority, employment agreements, references, completed orientation, competency assessments, police and visa vetting and training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induction programme. They are ‘buddied’ with an experienced caregiver with constant support from the FM and CNL. The entire process, including completion of competencies, takes up to three months to complete and staff performance is reviewed at the end of this period and yearly thereafter unless there are performance issues. Staff performance appraisals were current.  Annual practising certificates were current for all staff and contractors who required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FM and CNL. Records are held for staff attendance at training sessions. In-service education is provided for staff and there was documented evidenced that this was provided at least monthly. During the Covid-19 lock down training was provided in various ways. Clinical staff have attended the palliative care programme.  External educators provide some sessions and the RNs also attend education sessions provided by the DHB. Staff have current first aid certificates, and these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for RNs were current and one caregiver has a current ‘second checker’ competency for controlled drugs. Competencies for the other caregivers were not current.</w:t>
            </w:r>
          </w:p>
          <w:p w:rsidR="00EB7645" w:rsidRPr="00BE00C7" w:rsidP="00BE00C7">
            <w:pPr>
              <w:pStyle w:val="OutcomeDescription"/>
              <w:spacing w:before="120" w:after="120"/>
              <w:rPr>
                <w:rFonts w:cs="Arial"/>
                <w:b w:val="0"/>
                <w:lang w:eastAsia="en-NZ"/>
              </w:rPr>
            </w:pPr>
            <w:r w:rsidRPr="00BE00C7">
              <w:rPr>
                <w:rFonts w:cs="Arial"/>
                <w:b w:val="0"/>
                <w:lang w:eastAsia="en-NZ"/>
              </w:rPr>
              <w:t>The Careerforce education programme is also available for staff to complete and staff are encouraged to do so. The CNL is the facility assessor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induction,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including acuity, skill mix of experienced staff and less experienced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cover is provided 24 hours, seven days a week. The FM advised there is a casual pool and staff who work short shifts are asked to work more hours if needed. The FM reported the rosters are adjusted to meet the changing needs of residents, resident acuity including occupancy and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and CNL work full time and are on call after hours. The CNL works both on and off the floor (0.4 on the floor and 0.6 off the floor).  Five RNs are currently employed  and have between one year to 10 years’ experience working in the aged care sector. Review of the rosters evidenced two RNs and six caregivers on the morning shift, one RN and three caregivers on the afternoon shift and one RN and one caregiver on at night. The activities coordinator works Monday to Friday 9am to 3.30pm.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staff. One of the owners is responsible for maintenance and operations. The kitchen has a cook and kitchen hands.</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 and staff interviewed reported high satisfaction with the staffing levels. Staff commented that ‘staffing levels are exceptional’. Observations during the audit confirmed staffing levels are high.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however an interview with three RNs identified that at times when busy, one RN did not take the second checker to observe the drug being administered to the right client (refer criterion 1.2.7.5).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were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CNL and FM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Cook 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in July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was in place issued by the Palmerston North City Council, 4th October 2019. A new verification audit is booked for 12th November 2020.</w:t>
            </w:r>
          </w:p>
          <w:p w:rsidR="00EB7645" w:rsidRPr="00BE00C7" w:rsidP="00BE00C7">
            <w:pPr>
              <w:pStyle w:val="OutcomeDescription"/>
              <w:spacing w:before="120" w:after="120"/>
              <w:rPr>
                <w:rFonts w:cs="Arial"/>
                <w:b w:val="0"/>
                <w:lang w:eastAsia="en-NZ"/>
              </w:rPr>
            </w:pPr>
            <w:r w:rsidRPr="00BE00C7">
              <w:rPr>
                <w:rFonts w:cs="Arial"/>
                <w:b w:val="0"/>
                <w:lang w:eastAsia="en-NZ"/>
              </w:rPr>
              <w:t>The cook has only been in the role for five months and due to Covid-19 restrictions has not been able to access safe food training.  Her orientation by the previous cook did include safe food practices. The cook is booked to do the formal training later this month. Kitchen assistants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at Cook St complies with current legislation and guidelines. Food temperatures, including for high risk items, are monitored appropriately, and recorded as part of the plan.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main meal at Cook St is served in the evening. Evidence of resident satisfaction with meals was verified by resident and family interviews, satisfaction surveys, Aged advisor App reviews of Cook St and resident meeting minutes. Any areas of dissatisfaction were promptly responded to. Residents were seen to be given time to eat their meal in an unhurried fashion and those requiring assistance had this provided. There were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at Cook St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 therapist (DT}. A previous initiative to expand the social opportunities, community involvement and events available to residents at Cook St remains ongoing. The philosophy of the DT is ‘Cook St will enable you’.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a commitment to enabling residents continued participation in community activities. Individual, group activities and regular events are offered and include several volunteers participating. Examples included an exercise session, church meetings, darts, boccia, Vegas games afternoons, arts, crafts, visiting entertainers, quiz sessions and daily news updates. Outings included a weekly visit to the Plaza (mall), games sessions with another rest home, individual resident’s outings to attend their club meetings, picnics, art displays, museum visits and local school productions to see residents’ grandchildren perform. The activities programme is discussed at the residents’ meetings and minutes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and CNL.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are consistently reviewed for infections, pain, and weight loss. Progress is evaluated as clinically indicated. Wound management plans were evaluated each time the dressing is changed. Behaviour management plans were reviewed every time a resident displayed a behaviour that challenged.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displayed in the front entrance and expires on the 9 March 2021.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Cook St is appropriate to that recommended for long term care facilities, with infection definitions reflecting a focus on symptoms rather than laboratory results. These include infections of the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and FM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Graphs evidence a large reduction in all infections over the past three years. In 2020 all infection numbers have reduced dramatically.</w:t>
            </w:r>
          </w:p>
          <w:p w:rsidR="00EB7645" w:rsidRPr="00BE00C7" w:rsidP="00BE00C7">
            <w:pPr>
              <w:pStyle w:val="OutcomeDescription"/>
              <w:spacing w:before="120" w:after="120"/>
              <w:rPr>
                <w:rFonts w:cs="Arial"/>
                <w:b w:val="0"/>
                <w:lang w:eastAsia="en-NZ"/>
              </w:rPr>
            </w:pPr>
            <w:r w:rsidRPr="00BE00C7">
              <w:rPr>
                <w:rFonts w:cs="Arial"/>
                <w:b w:val="0"/>
                <w:lang w:eastAsia="en-NZ"/>
              </w:rPr>
              <w:t>A Covid-19 QR code is at the front door (the only entry points currently). All persons entering the building are temperature checked and monitored. Cook St volunteers as a site for staff to be regularly tested for Covid-19, as part of the MoH voluntary vulnerable workplace screening programme. RNs have also been trained to swab for Covid-19 in addition to being trained in phlebotomy in case residents required blood tests to be done during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includes a definition, assessment and evaluation details and complies with the requirements of the standard. Restraint has not been used for 18 months. There was one resident using an enabler at the time of audit. Sensor mats and low beds are used so that restraint is not required. Staff interviewed demonstrated sound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5"/>
        <w:gridCol w:w="1280"/>
        <w:gridCol w:w="6580"/>
        <w:gridCol w:w="2195"/>
        <w:gridCol w:w="20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to staff and documentation evidenced this was provided at least monthly. During the Covid-19 lock down training was provided via video, group emails, memos, the communication book and at handover. Discussions are held at handover relating to residents with specific health status. Clinical staff have attended the palliative care programme.  External educators provide some sessions and the RNs also attend education sessions provided by the DHB. Staff have current first aid certificates, and these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for RNs were current and one caregiver has a current ‘second checker’ competency for controlled drugs. Competencies for the other caregivers were last completed in 2018. Caregivers were not consistently accompanying the RN to residents when a controlled drug is administered.</w:t>
            </w:r>
          </w:p>
          <w:p w:rsidR="00EB7645" w:rsidRPr="00BE00C7" w:rsidP="00BE00C7">
            <w:pPr>
              <w:pStyle w:val="OutcomeDescription"/>
              <w:spacing w:before="120" w:after="120"/>
              <w:rPr>
                <w:rFonts w:cs="Arial"/>
                <w:b w:val="0"/>
                <w:lang w:eastAsia="en-NZ"/>
              </w:rPr>
            </w:pPr>
            <w:r w:rsidRPr="00BE00C7">
              <w:rPr>
                <w:rFonts w:cs="Arial"/>
                <w:b w:val="0"/>
                <w:lang w:eastAsia="en-NZ"/>
              </w:rPr>
              <w:t>An email was received from the FM on the 5 October 2020 advising the DHB that the corrective action has been addressed. Attachments included copies of the completed competencies for caregivers and a memo/letter to clinical staff relating to this and giving instruction about caregivers accompanying the RNs to administer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one caregiver, second checker competencies for caregivers were not current. Caregivers are not always accompanying the RN to administer controlled drugs to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caregivers who are second checkers for controlled drugs have current competencies and that they accompany the RN to administer controlled drugs.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797"/>
        <w:gridCol w:w="2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approached the Lion’s ladies’ group to develop and create new events and social opportunities for the residents at Cook St. The group responded and met to discuss the concepts that could be developed to create a partnership that would benefit the residents and the Lions. This has remained ongoing (though was on hold during Covid-19 restrictions). Calendar events were initiated (e.g., high teas, daffodil day, art shows, craft days and fashion shows based round themes). The Lions ladies participate as do residents and families. The Lions then again offered Cook St the opportunity to support Breast Cancer awareness week. The Lions ladies assisted residents to decorate bras and enter them in the Palmerston North Bra Art competition. The community voted for the best bra, using a gold coin. Money raised went to breast cancer.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Lion’s ladies continue to be involved with Cook St.  They have befriended the residents and visit most days. It remains a working partnership that is of benefit to all concerned.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initiative to expand the social opportunities, community involvement, and events available to residents at Cook St has increased the number of volunteers involved in the service, improved the social networks between the service and the community and increased the diversity of the events accessible to the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Portwell Care Limited - Cook St Nursing Care Centre</w:t>
    </w:r>
    <w:bookmarkEnd w:id="58"/>
    <w:r>
      <w:rPr>
        <w:rFonts w:cs="Arial"/>
        <w:sz w:val="16"/>
        <w:szCs w:val="20"/>
      </w:rPr>
      <w:tab/>
      <w:t xml:space="preserve">Date of Audit: </w:t>
    </w:r>
    <w:bookmarkStart w:id="59" w:name="AuditStartDate1"/>
    <w:r>
      <w:rPr>
        <w:rFonts w:cs="Arial"/>
        <w:sz w:val="16"/>
        <w:szCs w:val="20"/>
      </w:rPr>
      <w:t>30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