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Pururi Court Rest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Puriri Court Rest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October 2020</w:t>
      </w:r>
      <w:bookmarkEnd w:id="7"/>
      <w:r w:rsidRPr="009418D4">
        <w:rPr>
          <w:rFonts w:cs="Arial"/>
        </w:rPr>
        <w:tab/>
        <w:t xml:space="preserve">End date: </w:t>
      </w:r>
      <w:bookmarkStart w:id="8" w:name="AuditEndDate"/>
      <w:r w:rsidR="00A4268A">
        <w:rPr>
          <w:rFonts w:cs="Arial"/>
        </w:rPr>
        <w:t>2 October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Puriri Court Lifecare provides rest home and hospital level care for up to 72 residents. The service is operated by Heritage Lifecare Limited (HLL) and managed by a care home manager and a clinical services manager. There have been no significant changes to the service and facilities since the previous audit. </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including a regional quality manager and a general practitioner (GP). All the interviewees spoke positively about the care provided.</w:t>
      </w:r>
    </w:p>
    <w:p w:rsidRPr="00A4268A">
      <w:pPr>
        <w:spacing w:before="240" w:line="276" w:lineRule="auto"/>
        <w:rPr>
          <w:rFonts w:eastAsia="Calibri"/>
        </w:rPr>
      </w:pPr>
      <w:r w:rsidRPr="00A4268A">
        <w:rPr>
          <w:rFonts w:eastAsia="Calibri"/>
        </w:rPr>
        <w:t xml:space="preserve">There were no areas identified as requiring improvement during this audit. Two areas of continuous improvement were identified in relation to record management and service delivery.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is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 xml:space="preserve">A complaints register is maintained with complaints resolved promptly and effectively.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service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w:t>
      </w:r>
    </w:p>
    <w:p w:rsidRPr="00A4268A">
      <w:pPr>
        <w:spacing w:before="240" w:line="276" w:lineRule="auto"/>
        <w:rPr>
          <w:rFonts w:eastAsia="Calibri"/>
        </w:rPr>
      </w:pPr>
      <w:r w:rsidRPr="00A4268A">
        <w:rPr>
          <w:rFonts w:eastAsia="Calibri"/>
        </w:rPr>
        <w:t>Residents’ information is accurately recorded, securely stored and is not accessible to unauthorised people. Up to date, legible and relevant residents’ records are maintained in using an integrated electronic and additional hardcopy records.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Five restraints were in use at the time of audit.  A comprehensive assessment, approval and monitoring process with regular reviews occurs. There were five enablers being used.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32"/>
        <w:gridCol w:w="1280"/>
        <w:gridCol w:w="932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Puriri Court Lifecare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Caregivers were observed calling residents by their preferred name.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forms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establishing and documenting enduring power of attorney requirements and processes for residents unable to consent is defined and documented, as relevant, in the resident’s record.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links with their family and the community by attending a variety of organised outings, visits, shopping trips, activities, and entertainment events in the community.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unrestricted visiting hours and encourages visits from residents’ family and friends. Family members interviewed stated they felt welcome when they visited and comfortable in their dealings with staff. Even though there were visitors’ restrictions recently due to the pandemic, residents and family members interviewed stated they felt comfortable about the way it was managed and were kept well informed.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five complaints were received in 2019 and nine complaints have been received over the past year and that actions were taken, through to an agreed resolution, are documented and completed within the timeframes. Action plans showed any required follow up and improvements have been made where possible. The manager is responsible for complaints management and follow up. All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There is one complaint currently being investigated by the Office of the Health and Disability Commissioner (HDC). All complaints processes have been followed through in a professional manner and all information is filed appropriately. The HLL quality and legal team have until the 08 October to respond to HDC. One complaint to the Northland District Health Board (NDHB) in 2019 was investigated and closed out effectively.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report being made aware of the Code and the Nationwide Health and Disability Advocacy Service (Advocacy Service) as part of the admission information provided and discussion with staff. The Code is displayed in the common areas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of Puriri Court Lifecare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need to maintain privacy and were observed to maintain privacy throughout the audit, when attending to personal cares, ensuring resident information is held securely and privately, exchanging verbal information and in discussion with families. All residents have a private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participating in community activities, regular outings.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Fourteen staff and four residents at Puriri Court Lifecare at the time of audit identify as Māori. Staff support residents in the service who identify as Māori to integrate their cultural values and beliefs. The principles of the Treaty of Waitangi are incorporated into day to day practice, as is the importance of whānau. There is a current organisation wide policy on Māori health plan to guide the facility on the development of their own Māori health plan. Guidance on tikanga best practice is available and is supported by staff who identify as Māori in the facility. Māori residents and their whānau interviewed reported that staff acknowledge and respect their individual cultural needs. Guidance on tikanga best practice is readily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A cultural assessment is also completed during the admission.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Ongoing education is provided on an annual basis which is confirmed in training record.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 based policies, input from external specialist services and allied health professionals, for example, hospice/palliative care team, diabetes nurse specialist, wound care specialist and mental health services for older persons,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various quality initiatives to reduce falls rate, urinary tract infections and polypharmacy usage. Also, further to establishing part time GP link nurse role, Puriri Court rest home and hospital has expanded the scope of this role (Refer 1.1.8.1).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know how to access interpreter services, through Northland District Health Board, if needed. Staff reported interpreter services were rarely required due to all present residents being able to speak English and/or Māori language.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Heritage Lifecare strategic and business plans outline the organisation’s direction, purpose and values, and each facility develops their own set of goals and objectives to be achieved each year. The annual plan for Puriri Court Lifecare contained detailed and time framed goals and evidence of progress being made toward these.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monthly reports from the Care Home Manager (CHM) to their national office confirmed that the information provided is sufficiently detailed to monitor performance and includes narrative on any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The CHM who has been in the role for 11 weeks, is a registered nurse with a current annual practising certificate (APC) and has business qualifications and experience in the DHB and the aged care sector both in New Zealand and in Australia. Responsibilities and accountabilities are documented in that person’s job description and individual employment agreement.  Interview with the CHM and review of documents confirmed knowledge of the sector, regulatory and reporting requirements. The CHM has maintained and updated sector knowledge prior to taking on this role. Interview and sighted records of professional development confirmed that compliance with the requirement in the aged related resident care (ARC) contract for managers to attend at least eight hours of training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contract with the Northland District Health Board (NDHB) for rest home, respite and hospital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audit there were 69 residents on site. Nineteen of these were assessed at rest home level care, two respite and 48 residents were receiving hospital level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CHM is absent the Clinical Services Manager (CSM) carries out all the required duties under delegated authority with support and back up from the quality coordinator and the regional quality manager. During absences of key clinical staff, the clinical management is overseen by one of the other senior registered nurses who is the quality coordinator/educator who knows the residents and is able to take responsibility for any clinical issues that may arise. The service also has a senior registered nurse in the role of the general practitioner liaison nurse which is unique for this service.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internal audit activities, regular resident and relative satisfaction surveys, surveillance of infections and restraint and implementation of corrective actions.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monthly quality management team meetings, RN and staff meetings. Staff reported their involvement in quality and risk management by the quality data on display which is discussed with them regularly as well as the results from internal audits in their work areas. A new initiative implemented by the CHM is a weekly Monday meeting for all heads of department and a resident clinical review meeting held twice weekly. Minutes of these meetings are maintained and were reviewed. Relevant corrective actions are developed and implemented to address any shortfalls. Resident and family satisfaction surveys are completed annually. The most recent survey had only just occurred and results were not available on the audit days, but the number of written compliments received and the positive response from random interviews of family and residents indicated a high level of satisfaction.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CHM described the processes for the identification, monitoring, review and reporting of risks and development of mitigation strategies. The CHM is familiar with the Health and Safety at Work Act (2015) and all requirements are implemented and embedded into the service.  Staff interviewed were also fully informed in respect of their health and safety obligations and reporting systems are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from 2019 and 2020 showed these were fully completed, incidents were investigated, action plans developed and actions followed-up in a timely manner to prevent recurrence. Adverse event data is collated, analysed and reported monthly to HHL national office for benchmarking. The CHM and the CSM review, comment and sign off all incident reports before they are uploaded in the electronic register for collation and analysis. Significant incidents and trends are discussed with all levels of staff to promote learning and identify remedial actions.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CHM fully understands and described essential notification reporting requirements. Since the previous audit there have been eight section 31 notifications made to the Ministry of Health in 2019 and five this year 2020. All forms reviewed were completed accurately. There have been no coroner’s inquests. One issues-based audit to follow up a complaint to the NDHB was investigated but effectively closed out.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The quality coordinator/educator interviewed is responsible for facilitating the education programme and maintains all records. </w:t>
            </w:r>
          </w:p>
          <w:p w:rsidR="00EB7645" w:rsidRPr="00BE00C7" w:rsidP="00BE00C7">
            <w:pPr>
              <w:pStyle w:val="OutcomeDescription"/>
              <w:spacing w:before="120" w:after="120"/>
              <w:rPr>
                <w:rFonts w:cs="Arial"/>
                <w:b w:val="0"/>
                <w:lang w:eastAsia="en-NZ"/>
              </w:rPr>
            </w:pPr>
            <w:r w:rsidRPr="00BE00C7">
              <w:rPr>
                <w:rFonts w:cs="Arial"/>
                <w:b w:val="0"/>
                <w:lang w:eastAsia="en-NZ"/>
              </w:rPr>
              <w:t>Care staff have either completed or commenced a New Zealand Qualification Authority (NZQA) education programme to meet the requirements of the provider’s agreement with the DHB. Currently there are 34 health care assistants. Seventeen (17) have completed relevant training including seven level 4, four level 3 and six have completed earlier training that is NZQA eg Care of Older Persons certificated courses. Other care staff are paid at level three due to years of experience. Newly employed care staff are encouraged to enrol for 2021 in relevant training and this is currently being organised.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All care staff have completed all relevant competencies such as restraint minimisation and safe practice, manual handling, pressure injury, fire, infection prevention and control. Senior care staff administering medicines have completed the medication competencies annually. The activities coordinators have both completed a first aid course and one has completed the diversional therapy training. </w:t>
            </w:r>
          </w:p>
          <w:p w:rsidR="00EB7645" w:rsidRPr="00BE00C7" w:rsidP="00BE00C7">
            <w:pPr>
              <w:pStyle w:val="OutcomeDescription"/>
              <w:spacing w:before="120" w:after="120"/>
              <w:rPr>
                <w:rFonts w:cs="Arial"/>
                <w:b w:val="0"/>
                <w:lang w:eastAsia="en-NZ"/>
              </w:rPr>
            </w:pPr>
            <w:r w:rsidRPr="00BE00C7">
              <w:rPr>
                <w:rFonts w:cs="Arial"/>
                <w:b w:val="0"/>
                <w:lang w:eastAsia="en-NZ"/>
              </w:rPr>
              <w:t>All registered nurses have completed first aid and life support training. There are eight trained and competent registered nurses who are maintaining their annual competency requirements to undertake interRAI assessments. In addition to this, three RNs are enrolled in the interRAI training for this year. Records reviewed demonstrated completion of the required mandatory and elective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members interviewed supported this. Observations and review of a four-week roster cycle confirmed adequate staff cover has been provided, with staff replaced in any unplanned absence. At least one staff member on duty has a current first aid certificate and there is 24//7 RN coverage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as the unique identifier on all residents’ information sighted. All necessary demographics, personal, clinical and health information was fully completed in the residents’ files sampled for review. Clinical notes were current and integrated with GP and allied health service provider notes. All resident clinical records are maintained on online patient and medication management systems. All staff has individual login/access to this information. Organisation has developed an efficient system to update all resident information onto that integrated patient management system (Refer criterion 1.2.9.10).</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All hard copy documents are scanned and uploaded onto the online systems.</w:t>
            </w:r>
          </w:p>
          <w:p w:rsidR="00EB7645" w:rsidRPr="00BE00C7" w:rsidP="00BE00C7">
            <w:pPr>
              <w:pStyle w:val="OutcomeDescription"/>
              <w:spacing w:before="120" w:after="120"/>
              <w:rPr>
                <w:rFonts w:cs="Arial"/>
                <w:b w:val="0"/>
                <w:lang w:eastAsia="en-NZ"/>
              </w:rPr>
            </w:pPr>
            <w:r w:rsidRPr="00BE00C7">
              <w:rPr>
                <w:rFonts w:cs="Arial"/>
                <w:b w:val="0"/>
                <w:lang w:eastAsia="en-NZ"/>
              </w:rPr>
              <w:t>Residents’ records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NASC and the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Regular medication audits are completed and are followed with appropriate corrective actions. There are evidences of pharmacy involvement.</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RN checks medications against the prescription. All medications sighted were within current use by dates.</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 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met. The required three monthly GP review is consistently recorded on the medicine chart.  Standing orders are not used.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residents who self-administer medications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 In February 2020, a quality initiative is implemented aiming to reduce the usage of polypharmacy among the residents and it is still in the initial phase.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qualified chef who is supported by experienced kitchen hands and is in line with recognised nutritional guidelines for older people.  The menu follows summer and winter patterns and has been reviewed by a qualified dietitian in November 2019.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Whangarei District Council effective from 10 August 2020. Food temperatures, including for high risk items, are monitored appropriately and recorded as part of the plan. All kitchen staff have completed safe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Residents have access to food and fluids to meet their nutritional needs at all times.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is verified by resident and family interviews, satisfaction surveys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with Registered Nurses (RN) and CSM. There is a clause in the access agreement related to when a resident’s placement can be terminated.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residents are assessed to develop initial care plan. Within three weeks of admission a comprehensive assessment is completed using nursing assessment tools such as pain scale, falls risk, skin integrity, nutritional screening, depression scale and interRAI as a means to identify any deficits and to inform long term care planning. The sample of care plans reviewed had an integrated range of resident-related information. All residents have current interRAI assessments completed by one of 12 trained interRAI assessors on site. </w:t>
            </w:r>
          </w:p>
          <w:p w:rsidR="00EB7645" w:rsidRPr="00BE00C7" w:rsidP="00BE00C7">
            <w:pPr>
              <w:pStyle w:val="OutcomeDescription"/>
              <w:spacing w:before="120" w:after="120"/>
              <w:rPr>
                <w:rFonts w:cs="Arial"/>
                <w:b w:val="0"/>
                <w:lang w:eastAsia="en-NZ"/>
              </w:rPr>
            </w:pPr>
            <w:r w:rsidRPr="00BE00C7">
              <w:rPr>
                <w:rFonts w:cs="Arial"/>
                <w:b w:val="0"/>
                <w:lang w:eastAsia="en-NZ"/>
              </w:rPr>
              <w:t>Files audited have evidence of wound management such as wound care plan, evaluation. Evidences of wound managements including photographs of chronic wounds is sighted.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high standard.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 trained diversional therapist (DT) holding the national Certificate in Diversional Therapy and an activities coordinator who is currently training to be a registered DT. A wide range of activities are provided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weekly activities planner sighted matches the skills, likes, dislikes and interests identified in the assessments. Individual, group activities and regular events are offered. Examples were rest home Olympics (competition among local rest homes), school children visit and external visits to vintage car show, shopping trips, day cares. Residents and families/whānau are involved in evaluating and improving the programme through residents’ meetings, satisfaction surveys. Residents interviewed confirmed they enjoy the programme. A quality improvement plan is initiated this year to improve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 term care plans being consistently reviewed and progress evaluated as clinically indicated were noted. When necessary, and for unresolved problems, long term care plans are added to an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Puriri Court Lifecare has contracted GP who does weekly visits. If the need for other non-urgent services are indicated or requested, the GP or RN sends a referral to seek specialist input. Copies of referrals were sighted in residents’ files. All referrals are followed up by the GP or GP link nurse. The resident and the family/whānau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01 December 2020) was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are maintained. The testing and tagging of electrical equipment and calibration of bio medical equipment is current as confirmed in documentation reviewed, interviews with maintenance personnel and observation of the environment. The environment was hazard free, residents were safe, and independence was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were observed to be safe, well maintained and suitable for the resident groups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staff confirmed they know the processes they should follow if any repairs or maintenance is required. The maintenance request records reviewed confirmed that all requests are attended to in a timely way.  </w:t>
            </w:r>
          </w:p>
          <w:p w:rsidR="00EB7645" w:rsidRPr="00BE00C7" w:rsidP="00BE00C7">
            <w:pPr>
              <w:pStyle w:val="OutcomeDescription"/>
              <w:spacing w:before="120" w:after="120"/>
              <w:rPr>
                <w:rFonts w:cs="Arial"/>
                <w:b w:val="0"/>
                <w:lang w:eastAsia="en-NZ"/>
              </w:rPr>
            </w:pPr>
            <w:r w:rsidRPr="00BE00C7">
              <w:rPr>
                <w:rFonts w:cs="Arial"/>
                <w:b w:val="0"/>
                <w:lang w:eastAsia="en-NZ"/>
              </w:rPr>
              <w:t>Residents said that they were happy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and additionally designated staff and visitor toilets. Some resident rooms have their own ensuite bathrooms with shower and toilet, some rooms have a toilet only. Appropriately secured and approved handrails are provided in the toilet/shower areas, and other equipment/accessories are available to promote resident independence. Monitoring of hot water temperatures occurs regularly, and the records sighted showed no temperatures above 45 degrees centigrade.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bathroom was under restoration at the time of the audit and this was screened off for resident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accommodation except for three designated shared rooms. One couple share a room and the other two rooms there is only one resident in each room sighted.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sufficient space to store mobility aids, wheelchairs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There are two small lounge areas, one main lounge and a separate large dining room which is able to accommodate hospital level residents in wheelchairs up to the tables as needed without transfers occurring to dining room chairs. The small lounges are conveniently located to enable easy access for residents. Residents can access areas for privacy, if required. Furniture on visual inspection was in good condition and appropriate to the setting and residents’ needs. There are deck areas off each end of the building near the palliative care area and an outside area which is cool in the winter months but shady in the summer. In the centre of the courtyard is a large Puriri tree with a deck area built around it for residents to sit in the shade.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undertaken onsite in a laundry with two designated staff to manage this area of service delivery. One staff member has worked in this role for seventeen years and works effectively with the other team members. The clean and dirty areas are currently totally separated with plans in place to rebuild the laundry so that both clean and dirty areas are in closer proximity to each other to improve this area of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Two cleaning staff with an additional staff member available to cover both the cleaning and laundry services are available. Training has been provided as confirmed in interview with cleaning/laundry staff and review of their training records. Chemicals were stored in a designated and lockable room and where needed, chemicals were being decanted into suitable and clearly labelled containers. Safety data sheets and adequate personal protective equipment and resources were sighted and available. The contracted company also has a pest control programme in place. The company involved also visits the facility regularly to check stocks and to order further supplies as needed. There is a separate lockup room for storing cleaning equipment and trollies when not in use.</w:t>
            </w:r>
          </w:p>
          <w:p w:rsidR="00EB7645" w:rsidRPr="00BE00C7" w:rsidP="00BE00C7">
            <w:pPr>
              <w:pStyle w:val="OutcomeDescription"/>
              <w:spacing w:before="120" w:after="120"/>
              <w:rPr>
                <w:rFonts w:cs="Arial"/>
                <w:b w:val="0"/>
                <w:lang w:eastAsia="en-NZ"/>
              </w:rPr>
            </w:pPr>
            <w:r w:rsidRPr="00BE00C7">
              <w:rPr>
                <w:rFonts w:cs="Arial"/>
                <w:b w:val="0"/>
                <w:lang w:eastAsia="en-NZ"/>
              </w:rPr>
              <w:t>The effectiveness of cleaning and laundry processes are monitored through resident and relative feedback and the internal audit programme. All areas of the facility were observed to be clean and staff demonstrated that the daily practices occurring ensure maintenance of hygienic, reliable and regular cleaning throughout the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are displayed and known to staff. Disaster and civil defence planning guides direct staff in their preparation for disasters and describe the procedures to be followed in the event of a fire or other emergency. The current fire evacuation plan was approved by the New Zealand Fire Service 04 October 2016 and trial evacuations take place six-monthly with a copy sent to the New Zealand Fire Service. The most recent trial occurred 30 June 2020. The orientation programme includes fire and security training. Staff confirmed their awareness of the emergency procedures. The onsite fire suppression systems are checked monthly by an appropriately qualified company. </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69 residents and the Ministry of Civil Defence and Emergency Management recommendations for the region. The emergency lighting system was being regularly tested by maintenance staff.</w:t>
            </w:r>
          </w:p>
          <w:p w:rsidR="00EB7645" w:rsidRPr="00BE00C7" w:rsidP="00BE00C7">
            <w:pPr>
              <w:pStyle w:val="OutcomeDescription"/>
              <w:spacing w:before="120" w:after="120"/>
              <w:rPr>
                <w:rFonts w:cs="Arial"/>
                <w:b w:val="0"/>
                <w:lang w:eastAsia="en-NZ"/>
              </w:rPr>
            </w:pPr>
            <w:r w:rsidRPr="00BE00C7">
              <w:rPr>
                <w:rFonts w:cs="Arial"/>
                <w:b w:val="0"/>
                <w:lang w:eastAsia="en-NZ"/>
              </w:rPr>
              <w:t>The call bell system was functioning on audit day and residents and families reported staff respond promptly to call bells. The current sensor mat system is connected to the nurse call system and rings often day and night. There is a battery backup for the call bell system. The service provider is presently looking at a more effective call bell system to replace the existing nurse call system.</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An outside sensor light is installed and a security camera is in place. There have been no security incidents.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provided sufficient natural light and had opening external windows. One bedroom has a ranch slider door in the palliative area which opens out onto a deck area. Heating is provided by individual electric convector heaters in residents’ rooms and there were heat pumps in the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r w:rsidRPr="00BE00C7">
              <w:rPr>
                <w:rFonts w:cs="Arial"/>
                <w:b w:val="0"/>
                <w:lang w:eastAsia="en-NZ"/>
              </w:rPr>
              <w:t>There is a designated smoking area for the sole resident who smokes, and the organisational smoke free workplace policy is known and adhered to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Puriri Court Lifecare implements an infection prevention and control (IPC) programme to minimises the risk of infection to residents, staff and visitors. The programme is guided by a comprehensive and current infection control manual.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Coordinator is the designated IPC coordinator, whose role and responsibilities are defined in a job description. Infection control matters, including surveillance results, are reported monthly to the Clinical Services Manager, who then reports it to the Regional Quality Manager. Infection control data is discussed during the staff meetings and quarterly infection control committee meetings and a copy of the minutes are available in the staff room. This infection control committee includes the Care Home manager/ Clinical Services Manager/IPC coordinator, GP link nurse, caregivers and representatives from food services and household management.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Due to Covid 19 pandemic (currently level 1, on the day of audit), all visitors are requested to log their visit by entering their details on a paper log or by scanning a ministry of health’s bar code.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He has attended relevant study days, as verified in training records sighted, and does quarterly catch ups with Infection control coordinator at the DHB. Additional support and information is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coordinator confirmed the availability of resources to support the programme and any outbreak of an infection. There were no infections disease outbreaks reported in the facility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Policies were last reviewed in May 2019 and include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suitably qualified RNs, and the IPC coordinator. Content of the training is documented and evaluated to ensure it is relevant, current and understood. A record of attendance is maintained. When an infection outbreak or an increase in infection incidence has occurred, there is evidence that additional staff education has been provided in response. In response to recent pandemic, staff have completed training on Covid 19 pandemic (via World Health Organisation’s website), hand hygiene, isolation precautions, use of personal protective equipment and nasopharyngeal swabbing.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skin infections. The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clinical Services Manager, IPC committee and Regional Quality Manager. Data is benchmarked internally within other aged residential facilities within the group. Benchmarking has provided assurance that infection rates in the facility are below average for the sector. In January 2020, a quality initiative was implemented to reduce the number of Urinary tract infections which is still progressing.</w:t>
            </w:r>
          </w:p>
          <w:p w:rsidR="00EB7645" w:rsidRPr="00BE00C7" w:rsidP="00BE00C7">
            <w:pPr>
              <w:pStyle w:val="OutcomeDescription"/>
              <w:spacing w:before="120" w:after="120"/>
              <w:rPr>
                <w:rFonts w:cs="Arial"/>
                <w:b w:val="0"/>
                <w:lang w:eastAsia="en-NZ"/>
              </w:rPr>
            </w:pPr>
            <w:r w:rsidRPr="00BE00C7">
              <w:rPr>
                <w:rFonts w:cs="Arial"/>
                <w:b w:val="0"/>
                <w:lang w:eastAsia="en-NZ"/>
              </w:rPr>
              <w:t>Covid 19 pandemic preparedness document is sighted and staff interviewed are aware of this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The clinical services manager is the designated restraint coordinator who has been in this role for six years providing support and oversight for enabler and restraint management in the facility. The clinical services manager interviewed demonstrated a sound understanding of the organisation’s policies, procedures and practice and the role and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five residents are using enablers voluntarily and five residents are using a restraint. Restraint is used as a last resort when all alternatives have been explored. This was evident on review of the restraint approval group minutes, files reviewed, and from interviews with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HLL have terms of reference for the composition and responsibilities of the restraint approval group/committee and the practices at Puriri Court Lifecare adhere to these. Approval for the use of restraint is coordinated by the CSM who is the nominated Restraint Coordinator, the CHM, the GP, unit coordinator, resident representative and the GP link nurse. It was evident from review of restraint approval group meeting minutes, residents’ files and interview with the CSM/restraint coordinator that there are clear lines of accountability, all restraints have been approved, and the overall use of restraints is being monitored and analysed. When the consent forms are signed they are scanned into the electronic system for restraint minimisation and safe practice. Interview with a family member confirmed their involvement in the approval, ongoing review and overall decision making. Safe use of restraint was clearly described in the plans of care reviewed for the five residents with a restraint intervention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were documented and included all requirements of this Standard. The CSM/restraint coordinator undertakes an initial assessment with involvement and input from the resident’s family/whānau/EPOA. When interviewed the restraint coordinator demonstrated good knowledge of the process and a family member confirmed their involvement and this was validated by the general practitioner confirming that they were involved and informed about the use of the restraint. During the assessment process identification of the underlying cause, history of restraint use, cultural considerations, alternatives and associated risks were ascertained. The desired outcome was to ensure the resident’s safety and security. Completed assessments were sighted in the records of all the residents who were using a restraint. A senior caregiver is the cultural advisor for the service and is called upon as necessary to meet the cultural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restraints is actively minimised, and the restraint coordinator described how alternatives to restraints are discussed with staff and family members, for example, the use of sensor mats, low- low beds and ‘fall out’ mattresses.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frequent monitoring occurs to ensure the resident remains safe. Records of monitoring had the necessary details. Access to advocacy is provided if requested and all processes ensure dignity and privacy are maintained and respected.  </w:t>
            </w:r>
          </w:p>
          <w:p w:rsidR="00EB7645" w:rsidRPr="00BE00C7" w:rsidP="00BE00C7">
            <w:pPr>
              <w:pStyle w:val="OutcomeDescription"/>
              <w:spacing w:before="120" w:after="120"/>
              <w:rPr>
                <w:rFonts w:cs="Arial"/>
                <w:b w:val="0"/>
                <w:lang w:eastAsia="en-NZ"/>
              </w:rPr>
            </w:pPr>
            <w:r w:rsidRPr="00BE00C7">
              <w:rPr>
                <w:rFonts w:cs="Arial"/>
                <w:b w:val="0"/>
                <w:lang w:eastAsia="en-NZ"/>
              </w:rPr>
              <w:t>The enabler and restraint registers are maintained separately. The restraint register is kept updated and includes details about the resident, the type of restraint in use, the date of approval and commencement and review periods. The register logs the reasons for ceasing use of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residents’ files showed that the individual use of restraints is reviewed and evaluated during care plan and interRAI reviews, six monthly restraint evaluations and at the three monthly restraint approval committee meetings. Families interviewed confirmed their involvement in the evaluation process and their satisfaction with the restraint process. Enablers are documented in the mobility and transfer section of the long term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covers all requirements of the Standard, including future options to eliminate use, the impact and outcomes achieved, if the policy and procedure was followed and documentation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the three monthly restraint meeting minutes confirmed these as a comprehensive quality review of all restraint use. This meets the requirements of this Standard. Trends in restraint use is reported to the quality and staff meetings. The restraint committee consider the overall use and type of restraint in place, whether all alternatives to restraint had been considered, the effectiveness of the restraint in use, the competency of staff and the appropriateness of restraint / enabler education and feedback received from other parties. Internal audits on restraint also informs these meetings. Any changes to policies, guidelines, education and processes are implemented if indicated. Policies related to restraint minimisation and safe practice are next due for review 05 December 2020.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37"/>
        <w:gridCol w:w="1280"/>
        <w:gridCol w:w="7977"/>
        <w:gridCol w:w="334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Based on the positive feedbacks from residents, families and GP, Puriri Court Lifecare has expanded the role of GP link nurse. Currently it is a full time role. In addition to the previous task such as being a facility’s single point of contact with GP and coordinating multidisciplinary team’s inputs, this role has more responsibilities to ensure continuity and high quality of care for the residents. GP link nurse escorts residents to the external appointments which enables the specialists to get more information on resident and the feedback from specialist are followed up with GP in a timely manner. This first-hand information increased knowledge and efficiency of the nursing team which enabled better quality of care for residents. GP interviewed stated that this role is a huge success and it improved the communication with GP and efficiency of follow ups with external specialist services.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Having fully attained the criterion the service can clearly demonstrate expanding of the GP link nurse has contributed in maintaining and delivering high quality clinical care to their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1.2.9.10</w:t>
            </w:r>
          </w:p>
          <w:p w:rsidR="00EB7645" w:rsidRPr="00BE00C7" w:rsidP="00BE00C7">
            <w:pPr>
              <w:pStyle w:val="OutcomeDescription"/>
              <w:spacing w:before="120" w:after="120"/>
              <w:rPr>
                <w:rFonts w:cs="Arial"/>
                <w:b w:val="0"/>
                <w:lang w:eastAsia="en-NZ"/>
              </w:rPr>
            </w:pPr>
            <w:r w:rsidRPr="00BE00C7">
              <w:rPr>
                <w:rFonts w:cs="Arial"/>
                <w:b w:val="0"/>
                <w:lang w:eastAsia="en-NZ"/>
              </w:rPr>
              <w:t>All records pertaining to individual consumer service delivery are integrated.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mid-2018, Puriri Court Lifecare implemented an online patient management system along with their online medication management system. All resident records are uploaded and maintained online now. Each staff has an individual login to access it. There are systems in place to access and operate these online systems during a power and/or internet outage. In case of an emergency or on call situation, implementation on integrated online patient management system and online medication management system has enabled GP to access resident data remotely. It increased the efficiency by reducing duplication and creating a single access point to all patient record. All the patient related documents/reports such as work flow sheet (handover sheet), resident or/and family contact list, allergies list can be easily accessed, updated and printed off this systems.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Implementation of these online systems reduced the use, handling and storage of hard copies/paper copies. Resident information can be accessed remotely for staff with right access such as GP, managers which enabled them to support the clinical team during oncall/emergency situations. Staff and GP interviews confirm that the online systems are efficient and safe.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Pururi Court Rest Home and Hospital</w:t>
    </w:r>
    <w:bookmarkEnd w:id="58"/>
    <w:r>
      <w:rPr>
        <w:rFonts w:cs="Arial"/>
        <w:sz w:val="16"/>
        <w:szCs w:val="20"/>
      </w:rPr>
      <w:tab/>
      <w:t xml:space="preserve">Date of Audit: </w:t>
    </w:r>
    <w:bookmarkStart w:id="59" w:name="AuditStartDate1"/>
    <w:r>
      <w:rPr>
        <w:rFonts w:cs="Arial"/>
        <w:sz w:val="16"/>
        <w:szCs w:val="20"/>
      </w:rPr>
      <w:t>1 October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