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(BPA) Limited - Glengarry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(BPA)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Glengarry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September 2020</w:t>
      </w:r>
      <w:bookmarkEnd w:id="7"/>
      <w:r w:rsidRPr="009418D4">
        <w:rPr>
          <w:rFonts w:cs="Arial"/>
        </w:rPr>
        <w:tab/>
        <w:t xml:space="preserve">End date: </w:t>
      </w:r>
      <w:bookmarkStart w:id="8" w:name="AuditEndDate"/>
      <w:r w:rsidR="00A4268A">
        <w:rPr>
          <w:rFonts w:cs="Arial"/>
        </w:rPr>
        <w:t>15 September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Glengarry Lifecare provides rest home, hospital and dementia level care for up to 41 residents. The service is operated by Heritage Lifecare (BPA) Limited and managed by a facility manager and an acting clinical services manager. Since the last audit the previous facility manager has been replaced and the service clinical services manager has recently resigned. Residents and family spoke positively about the care provided.</w:t>
      </w:r>
    </w:p>
    <w:p w:rsidRPr="00A4268A">
      <w:pPr>
        <w:spacing w:before="240" w:line="276" w:lineRule="auto"/>
        <w:rPr>
          <w:rFonts w:eastAsia="Calibri"/>
        </w:rPr>
      </w:pPr>
      <w:r w:rsidRPr="00A4268A">
        <w:rPr>
          <w:rFonts w:eastAsia="Calibri"/>
        </w:rPr>
        <w:t>This surveillance audit was conducted against the Health and Disability Services Standards and the service’s contract with the district health board. The audit process included review of policies and procedures, review of residents’ and staff records, observations and interviews with residents, family members, management, staff and a general practitioner.</w:t>
      </w:r>
    </w:p>
    <w:p w:rsidRPr="00A4268A">
      <w:pPr>
        <w:spacing w:before="240" w:line="276" w:lineRule="auto"/>
        <w:rPr>
          <w:rFonts w:eastAsia="Calibri"/>
        </w:rPr>
      </w:pPr>
      <w:r w:rsidRPr="00A4268A">
        <w:rPr>
          <w:rFonts w:eastAsia="Calibri"/>
        </w:rPr>
        <w:t>There were two areas identified from the previous audit relating to safe and appropriate environment that have both been fully addressed. There are no areas requiring improvement from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confirmed to be effective. There is access to interpreting services, a Māori health advisor and a Kaumatua if required.</w:t>
      </w:r>
    </w:p>
    <w:p w:rsidRPr="00A4268A">
      <w:pPr>
        <w:spacing w:before="240" w:line="276" w:lineRule="auto"/>
        <w:rPr>
          <w:rFonts w:eastAsia="Calibri"/>
        </w:rPr>
      </w:pPr>
      <w:r w:rsidRPr="00A4268A">
        <w:rPr>
          <w:rFonts w:eastAsia="Calibri"/>
        </w:rPr>
        <w:t xml:space="preserve">A complaints register is maintained with complaints resolved promptly and effectively.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Heritage Lifecare is guided by the organisation’s business and quality and risk management plans. Monitoring of the services provided to the governing body Heritage Lifecare (BPA) Limited (HLL) occurs on a monthly basis. An experienced and suitably qualified person manages the facility with support from governance. </w:t>
      </w:r>
    </w:p>
    <w:p w:rsidRPr="00A4268A">
      <w:pPr>
        <w:spacing w:before="240" w:line="276" w:lineRule="auto"/>
        <w:rPr>
          <w:rFonts w:eastAsia="Calibri"/>
        </w:rPr>
      </w:pPr>
      <w:r w:rsidRPr="00A4268A">
        <w:rPr>
          <w:rFonts w:eastAsia="Calibri"/>
        </w:rPr>
        <w:t>The HLL quality and risk management system includes collection and analysis of quality improvement data, identifies trends and leads to improvements at a nationals and local level. Staff are involved and feedback is sought from residents and families. Adverse events are documented with corrective actions implemented as required. Actual and potential risks, including health and safety risks are identified and mitigated. Policies and procedures support service delivery and were current and reviewed regularly.</w:t>
      </w:r>
    </w:p>
    <w:p w:rsidRPr="00A4268A">
      <w:pPr>
        <w:spacing w:before="240" w:line="276" w:lineRule="auto"/>
        <w:rPr>
          <w:rFonts w:eastAsia="Calibri"/>
        </w:rPr>
      </w:pPr>
      <w:r w:rsidRPr="00A4268A">
        <w:rPr>
          <w:rFonts w:eastAsia="Calibri"/>
        </w:rPr>
        <w:t>Human resource management is based on good practice. A systematic approach to identify and deliver ongoing training supports safe service delivery and includes individual performance review annually. Staffing levels and skill mix meet the changing needs of residents and are adjusted accordingly.</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Access to the facility is appropriate and efficiently managed with relevant information provided to the potential resident/family.</w:t>
      </w:r>
    </w:p>
    <w:p w:rsidRPr="00A4268A" w:rsidP="00621629">
      <w:pPr>
        <w:spacing w:before="240" w:line="276" w:lineRule="auto"/>
        <w:rPr>
          <w:rFonts w:eastAsia="Calibri"/>
        </w:rPr>
      </w:pPr>
      <w:r w:rsidRPr="00A4268A">
        <w:rPr>
          <w:rFonts w:eastAsia="Calibri"/>
        </w:rPr>
        <w:t>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services as required.</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services meet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current building warrant of fitness is publically displayed at the entrance to the facility. Electrical equipment is tested as required. There has been no change to the fire evacuation plan and fire drills are held regularly.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and a restraint free environment. Two enablers were in use at the time of the audit. Use of enablers is voluntary for the safety of residents in response to individual requests. No restraints were in use. Staff demonstrated a sound knowledge and understanding of the restraint free philosophy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supported with ongoing education.</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 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A complaints/compliments box is available and is located in the main reception area.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electronically showed that eight complaints have been received over the past year and that actions were taken through to an agreed resolution and are documented within the required timeframes required. Action plans showed any required follow up and improvements have been made where possible.</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complaints management and follow up. Complaints are managed by the acting clinical service manager and/or the regional operations manager. 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Health and Disability Commissioner (HDC) this year lodged with (HDC) 22 March 2020 and the facility manager was informed 10 July 2020 which is related to a funding issue and remains ongoing at the time of this audit. No complaints have been received from other external sources.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Residents and family who do not speak English are advised of the availability of an interpreter if required. Interpreter services are available from Wairoa Hospital and Hawke’s Bay District Health Board (HBDHB). A Māori Health Advisor and Kaumatua are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confirmed that they were kept well informed of their relative’s wellbeing including any incidents or accidents and outcomes of regular and any urgent medical reviews and were happy with the timeframes that this occurred. This was supported in resident’s records reviewed. There was also evidence of resident/family input into the care planning process. Staff interviewed understood the principles of open disclosure.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Heritage Lifecare (BPA) Limited (HLL) have a standard business plan template which Glengarry Lifecare uses to identify site specific objectives and these are inked to the quality plan objectives. The business plan for 2020 was available and reviewed. The HLL documents describe annual and long term objectives and Glengarry’s facility manager’s report against these. A sample of weekly and monthly reports were reviewed which go to support office and are monitored by the regional operations manager and the quality assurance lead and team. The reports sighted showed adequate information to monitor performance is reported including financial performance, health and safety compliance, occupancy, staffing, any emerging risks and clinical issues.</w:t>
            </w:r>
          </w:p>
          <w:p w:rsidR="00EB7645" w:rsidRPr="00BE00C7" w:rsidP="00BE00C7">
            <w:pPr>
              <w:pStyle w:val="OutcomeDescription"/>
              <w:spacing w:before="120" w:after="120"/>
              <w:rPr>
                <w:rFonts w:cs="Arial"/>
                <w:b w:val="0"/>
                <w:lang w:eastAsia="en-NZ"/>
              </w:rPr>
            </w:pPr>
            <w:r w:rsidRPr="00BE00C7">
              <w:rPr>
                <w:rFonts w:cs="Arial"/>
                <w:b w:val="0"/>
                <w:lang w:eastAsia="en-NZ"/>
              </w:rPr>
              <w:t>The service is now managed by a facility manager who has been in this role since November 2019. The facility manager is supported by the acting clinical services manager until the clinical services manager role is filled. The organisation is currently advertising this position. The facility manager has held various management roles in health and industry and managed a general medical practice and has knowledge of working in the district health board. The facility manager and the acting clinical services manager confirmed knowledge of the sector, regulatory and reporting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 facility holds contracts with the Hawke’s Bay District Health Board for aged related residential care including hospital, rest home, dementia care and respite care. In addition they have a Ministry of Health (MoH) contract for younger people with disabilities (YPD) and long term support chronic health (LTSCH).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37 people were residing at Glengarry with seven of these people receiving services in the dementia unit known as Awhinatia. Three residents are under the MoH YPD contract, two LTSCH, seven rest home level care and eighteen hospital/medical level care. There are a total of 25 dual purpose beds.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management system that reflects the principles of continuous quality improvement. This includes audit activities, a document control system, management of incidents and complaints, a regular resident and family satisfaction survey, monitoring of outcomes, clinical incident monitoring including infections, falls, pressure injuries, skin tears, weight loss and medication errors.</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monthly staff and quality meetings. Infection control, health and safety and restraint free meetings are also held monthly. Staff interviewed reported their involvement in quality and risk management through meeting attendance, incident reporting, hazard identification and audit activities. Relevant corrective actions are developed and implemented to address any shortfalls. Resident and family satisfaction surveys are required to be completed annually and regular feedback is provided to managers by the residents, visitors and family. Visitors and family have been restricted during periods of lockdown for Covid 19 but feedback has been sought from family in respect of this pandemic. Managers reported that actions are taken in response to any feedback as appropriate. Surveys resident/family were completed July 2020 but no results are available from support office as yet. A staff survey has not been completed for this current year at time of this audit.</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covered all necessary aspects of service and contractual requirements including reference to the interRAI Long Term Care Facility (LTCF) assessment tool and process. Policies are based on best practice and were current. All relevant policies for infection control management with regard to the current pandemic Covid 19 were sighted and updated regularly. The document control system ensures a systematic and regular review process, referencing of relevant sources, approval, distribution and removal of obsolete documents.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the processes for the identification, monitoring, review and reporting of risks and development of any mitigation strategies if required. The facility manager is familiar with the Health and Safety at Work Act (2015). The facility manager is responsible for Health and Safety and has completed relevant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incident/accident form. A sample of incidents forms reviewed showed that these were fully completed. Incidents were investigated, action plans developed and actions followed-up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Adverse event data is collated, analysed and reported via the organisation’s central system managed by the clinical and quality team.</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essential notification reporting requirements, including for pressure injuries and that these are escalated to the quality lead, who is responsible for ensuring notifications occur. Since the last audit notifications have been made in relation to registered nurse cover, false fire alarms and a broken water main.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procedures and processes are based on good employment practice and relevant legislation. An electronic system is used for the recruitment process and includes referee checks, police vetting and validation of qualifications and practising certificates (APCs) where required. A sample of staff records reviewed confirmed the organisation’s policies are being consistently implemented and records hard copy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requires the completion of orientation and competency workbooks which include all necessary components to the role being undertaken. Staff interviewed reported that the orientation process prepared them well for their role. Staff records reviewed showed documentation of completed orientation and a performance review.</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and the annual 2020 education plan was reviewed. Mandatory annual training is included to meet training requirements. All registered nurses are required to have first aid training and care staff are encouraged to complete this training as well. Care staff have either completed or commenced a New Zealand Qualification Authority education programme to meet the requirements of the provider’s agreement with the DHB. A senior care giver has been appointed the training internal assessor and the facility manager is the education coordinator. Staff working in the dementia care have completed the required education. The senior experienced enrolled nurse is leading the dementia care service and reports to the acting clinical services manager and the facility manager. There are currently three registered nurses who are maintaining their annual competency requirements to undertake interRAI assessments. The acting clinical service manager is interRAI trained and competent.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HLL provides a documented process which is implemented at Glengarry for determining staffing levels and skill mixes to provide safe service delivery, 24 hours a day, seven days a week (24/7). The facility adjusts staffing levels to meet the changing needs of residents. An afterhours on call roster is in place. The acting clinical services manager is on call for all clinical requirements and advice and the facility manager for non-clinical issues that may arise. The acting clinical services manager will cover this service until a replacement is appointed and orientated to the role. The facility manager is supported by the quality assurance lead and the regional operations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was interviewed and is currently available to be called as needed after hours and visits on a regular basis. The on-call primary medical service provision is changing as three community medical GP practices have combined into one practice and will be based at Wairoa Hospital. The acting clinical services manager was at a meeting on the day of the audit. Services are currently under discussion but are being effectively managed in the interim time.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that they have good access to advice is available when needed. Care staff interviewed reported there were adequate staff available to complete the work allocated to them. Residents and family interviewed supported this. Observations and review of six weeks rosters confirmed adequate staff cover has been provided with staff replaced as need for sickness, study or annual leave. At least one staff member on duty has a current first aid certificate and there is 24/7 registered nurse cover.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medicine management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blistered packed and are supplied to the facility from a contracted pharmacy. The registered nurse checks medications against the prescription. All medications sighted were within current use by dates.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were stored securely in accordance with requirements. A secure controlled drug cupboard and a register to enter the stock were sighted. There were evidences of weekly and six monthly stock checks and accurate entries.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medication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 monthly General Practitioner review is consistently recorded on the online medication chart. </w:t>
            </w:r>
          </w:p>
          <w:p w:rsidR="00EB7645" w:rsidRPr="00BE00C7" w:rsidP="00BE00C7">
            <w:pPr>
              <w:pStyle w:val="OutcomeDescription"/>
              <w:spacing w:before="120" w:after="120"/>
              <w:rPr>
                <w:rFonts w:cs="Arial"/>
                <w:b w:val="0"/>
                <w:lang w:eastAsia="en-NZ"/>
              </w:rPr>
            </w:pPr>
            <w:r w:rsidRPr="00BE00C7">
              <w:rPr>
                <w:rFonts w:cs="Arial"/>
                <w:b w:val="0"/>
                <w:lang w:eastAsia="en-NZ"/>
              </w:rPr>
              <w:t>There was no resident self-medicating on the day of audit and vaccines were not stored on site. Standing orders are no longer used.</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system for comprehensive analysis of any medication errors. There is a comprehensive process in place to record and analysis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the kitchen team consists of two qualified cook and a kitchen hand. The food service is managed in with recognised national guidelines for older people. The four weekly menu plans follow summer and winter patterns and were reviewed by a qualified dietitian in July 2020.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Napier city council in October 2018. Food temperatures, including high risk items, are monitored appropriately and recorded as part of the plan. All kitchen staff has undertaken relevant food handling training. Food is taken to the service areas in hot boxes and served to the residents.</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such as lip plates are available to meet the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 interviews, satisfaction surveys and resident meeting minutes. Residents are seen to be given sufficient time to eat their meal in an unhurried fashion and those requiring assistance had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delivered according to instructions.</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that care was provided as outlined in the documentation. A range of equipment including air mattress, pressure relieving cushions and other resources were available, suited to the levels of care provided and in accordance with the residents’ needs. On the day of audit, no active pressure injuries were reported but care staff demonstrated knowledge in pressure injury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is provided by an activity assistant who has completed level 4 training on dementia and currently undergoing diversional therapy training. Staff assistant activities are occurring during the weekends.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on a daily basis and as part of the formal six monthly care plan review. The facility encourages residents on a daily basis to be involved in community groups and events and day to day activities of living that support the residents cultural, spiritual, activities of interest and their age.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 ordinary pattern of life and include normal community activities. Individual, group activities and regular events are offered. Residents and families/whānau are involved in evaluating and improving the programme through day to day discussions and resident meetings. Residents interviewed confirmed they find the programme good and look forward to going out.</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seven rest home level care residents in secured dementia unit and three YPD residents. Various activities, including one to one and group activities, are organised to meet the individual needs of these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RN.</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monthly in conjunction with the six monthly interRAI reassessment, or as needs change. Where progress is different from expected, the service responds by initiating changes to the plan of care. Examples of short term care plans being consistently reviewed and progress evaluated as clinically indicated were noted. When necessary, and for unresolved problems, long term care plans are added to and updated. Residents and families/whānau interviewed confirmed their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HLL documented processes for the management of waste and infectious and hazardous substances. Signage is displayed as necessary. Material data sheets were available and used by staff interviewed and staff knew how to manage any chemical spillage should this occur. Personal protective equipment (PPE) is readily available to staff, family and residents. Supplies were sighted and were appropriate especially with regard to Covid 19 pandemic management. Staff were observed using this correctly.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area of improvement identified in the previous audit with regard to chemical storage of unused chemicals has been fully addressed and meets compliance and relevant legislative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16 June 2021 is publically displayed. No changes have occurred to the facility since the previous audit. The fire evacuation plan has not required amendment. Six monthly fire drills are conducted and a report sent to the New Zealand Fire Service. Clinical equipment has evidence of current performance monitoring.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emergency and business continuity plan was reviewed January 2020 for Glengarry Lifecare. The plan is comprehensive to guide staff and is closely linked to the HBDHB emergency response management service. This was an area of improvement identified in the previous audit which has been addressed. Policies and procedures are available to guide staff with all disaster and emergencies such as in the event of a fire, earthquake or other emergency. No changes have been made to this facility since the previous audit and/or to the fire evacuation plan. The last fire drill was held on the 29 July 2020. Adequate supplies are on site in the event of a civil defence emergency including food, water as per the Wairoa Council requirements, blankets, mobile phones and a gas barbecue were sighted. Emergency power and lighting is available and a generator would be hired if needed.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Appropriate security arrangements are in place to ensure residents, staff, family and visitors are safe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with infection definitions reflecting a focus on symptoms rather than laboratory results. These include infections of the urinary tract, respiratory tract, skin or wound, gastro-intestinal and eye. When an infection is identified, an infection report form is completed and documented in the resident’s clinical record. New infections and any required management plan are discussed at handover, to ensure early interventions occur.</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reviews all reported infections. Monthly surveillance data is collated and analysed to identify any trends, possible causative factors and required actions. Results of the surveillance programme are shared with staff via quality and staff meetings and at daily staff hand overs. Surveillance data is entered in the organisation’s electronic database. Graphs are generated that identify trends for the current year. Data is benchmarked internally within the group’s other aged care providers.</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visitors are monitored for any signs of flu like symptoms including temperature checks. A visitor’s log is maintained and Covid QR code is displayed at the main entrance. Hand hygiene reminders and instructions are sighted. Staff interview are aware of monitoring and reporting of early signs of respiratory or Covid like symptoms.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acting clinical services manager provides support to the staff and oversight for enabler and restraint management in the facility and demonstrated a sound understanding of the organisation’s policies, procedures and practice and her role and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no residents were using a restraint and two were using enablers which were the least restrictive and used voluntarily at their request. A similar process is followed for the use of enablers as is used for restraint management. This provides for a robust process which ensures the ongoing safety and wellbeing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Restraint is only used as a last resort when all alternatives have been explored. Training is provided to staff at orientation and on an annual basis and was evidenced in the reviewed training plan for 2020.</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(BPA) Limited - Glengarry Rest Home &amp; Hospital</w:t>
    </w:r>
    <w:bookmarkEnd w:id="58"/>
    <w:r>
      <w:rPr>
        <w:rFonts w:cs="Arial"/>
        <w:sz w:val="16"/>
        <w:szCs w:val="20"/>
      </w:rPr>
      <w:tab/>
      <w:t xml:space="preserve">Date of Audit: </w:t>
    </w:r>
    <w:bookmarkStart w:id="59" w:name="AuditStartDate1"/>
    <w:r>
      <w:rPr>
        <w:rFonts w:cs="Arial"/>
        <w:sz w:val="16"/>
        <w:szCs w:val="20"/>
      </w:rPr>
      <w:t>15 September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