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Franklin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Franklin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September 2020</w:t>
      </w:r>
      <w:bookmarkEnd w:id="7"/>
      <w:r w:rsidRPr="009418D4">
        <w:rPr>
          <w:rFonts w:cs="Arial"/>
        </w:rPr>
        <w:tab/>
        <w:t xml:space="preserve">End date: </w:t>
      </w:r>
      <w:bookmarkStart w:id="8" w:name="AuditEndDate"/>
      <w:r w:rsidR="00A4268A">
        <w:rPr>
          <w:rFonts w:cs="Arial"/>
        </w:rPr>
        <w:t>16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Franklin Rest Home provides rest home, hospital and dementia levels of care for up to 44 residents. There were 43 residents residing at the facility on audit days.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service’s contract with the district health board. </w:t>
      </w:r>
    </w:p>
    <w:p w:rsidRPr="00A4268A">
      <w:pPr>
        <w:spacing w:before="240" w:line="276" w:lineRule="auto"/>
        <w:rPr>
          <w:rFonts w:eastAsia="Calibri"/>
        </w:rPr>
      </w:pPr>
      <w:r w:rsidRPr="00A4268A">
        <w:rPr>
          <w:rFonts w:eastAsia="Calibri"/>
        </w:rPr>
        <w:t>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There was one area identified as requiring improvement relating to corrective action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complaints process, and the Nationwide Health and Disability Advocacy Service is accessible. This information is brought to the attention of residents and their families on admission to the facility.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 xml:space="preserve">The residents' cultural, spiritual and individual values and beliefs are assessed on admission. Informed consent is practised and written consent is gained when required. Services are provided that respect the independence, personal privacy, individual needs, and dignity of residents. </w:t>
      </w:r>
    </w:p>
    <w:p w:rsidRPr="00A4268A">
      <w:pPr>
        <w:spacing w:before="240" w:line="276" w:lineRule="auto"/>
        <w:rPr>
          <w:rFonts w:eastAsia="Calibri"/>
        </w:rPr>
      </w:pPr>
      <w:r w:rsidRPr="00A4268A">
        <w:rPr>
          <w:rFonts w:eastAsia="Calibri"/>
        </w:rPr>
        <w:t>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the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reports to the Oceania Healthcare Limited national support office.</w:t>
      </w:r>
    </w:p>
    <w:p w:rsidRPr="00A4268A">
      <w:pPr>
        <w:spacing w:before="240" w:line="276" w:lineRule="auto"/>
        <w:rPr>
          <w:rFonts w:eastAsia="Calibri"/>
        </w:rPr>
      </w:pPr>
      <w:r w:rsidRPr="00A4268A">
        <w:rPr>
          <w:rFonts w:eastAsia="Calibri"/>
        </w:rPr>
        <w:t xml:space="preserve">The facility is managed by a business and care manager. A clinical leader is responsible for the oversight of the clinical services in the facility. </w:t>
      </w:r>
    </w:p>
    <w:p w:rsidRPr="00A4268A">
      <w:pPr>
        <w:spacing w:before="240" w:line="276" w:lineRule="auto"/>
        <w:rPr>
          <w:rFonts w:eastAsia="Calibri"/>
        </w:rPr>
      </w:pPr>
      <w:r w:rsidRPr="00A4268A">
        <w:rPr>
          <w:rFonts w:eastAsia="Calibri"/>
        </w:rPr>
        <w:t xml:space="preserve">There is an internal audit programme, risks are identified, and a hazard register is in place. Adverse events are documented and acted upon. </w:t>
      </w:r>
    </w:p>
    <w:p w:rsidRPr="00A4268A">
      <w:pPr>
        <w:spacing w:before="240" w:line="276" w:lineRule="auto"/>
        <w:rPr>
          <w:rFonts w:eastAsia="Calibri"/>
        </w:rPr>
      </w:pPr>
      <w:r w:rsidRPr="00A4268A">
        <w:rPr>
          <w:rFonts w:eastAsia="Calibri"/>
        </w:rPr>
        <w:t xml:space="preserve">There are policies and procedures on human resource management and the processes are implemented. An orientation programme is provided to all new staff and staff participate in the mandatory education programme. </w:t>
      </w:r>
    </w:p>
    <w:p w:rsidRPr="00A4268A">
      <w:pPr>
        <w:spacing w:before="240" w:line="276" w:lineRule="auto"/>
        <w:rPr>
          <w:rFonts w:eastAsia="Calibri"/>
        </w:rPr>
      </w:pPr>
      <w:r w:rsidRPr="00A4268A">
        <w:rPr>
          <w:rFonts w:eastAsia="Calibri"/>
        </w:rPr>
        <w:t xml:space="preserve">There is a documented rationale for determining staffing levels and skill mixes in order to provide safe service delivery that is based on best practice. </w:t>
      </w:r>
    </w:p>
    <w:p w:rsidRPr="00A4268A">
      <w:pPr>
        <w:spacing w:before="240" w:line="276" w:lineRule="auto"/>
        <w:rPr>
          <w:rFonts w:eastAsia="Calibri"/>
        </w:rPr>
      </w:pPr>
      <w:r w:rsidRPr="00A4268A">
        <w:rPr>
          <w:rFonts w:eastAsia="Calibri"/>
        </w:rPr>
        <w:t>Resident information is recorded in an accurate and timely manner. The privacy of resident information is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 is used to identify residents’ needs;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Person centred care plans are developed using an electronic system and implemented within the required timeframes. These are individualised and based on an integrated range of clinical information. Residents’ needs, goals and outcomes are identified. All residents’ files reviewed demonstrated evaluations are completed six-monthly or earlier if there are changes in the resident’s condition. Residents and their relatives are involved in the care planning process and are notified regarding any changes in a resident’s health status. </w:t>
      </w:r>
    </w:p>
    <w:p w:rsidRPr="00A4268A" w:rsidP="00621629">
      <w:pPr>
        <w:spacing w:before="240" w:line="276" w:lineRule="auto"/>
        <w:rPr>
          <w:rFonts w:eastAsia="Calibri"/>
        </w:rPr>
      </w:pPr>
      <w:r w:rsidRPr="00A4268A">
        <w:rPr>
          <w:rFonts w:eastAsia="Calibri"/>
        </w:rPr>
        <w:t>Short-term care plans are in place to manage short-term issues or problems as they arise. Handovers between shifts guide continuity of care and teamwork is encouraged.</w:t>
      </w:r>
    </w:p>
    <w:p w:rsidRPr="00A4268A" w:rsidP="00621629">
      <w:pPr>
        <w:spacing w:before="240" w:line="276" w:lineRule="auto"/>
        <w:rPr>
          <w:rFonts w:eastAsia="Calibri"/>
        </w:rPr>
      </w:pPr>
      <w:r w:rsidRPr="00A4268A">
        <w:rPr>
          <w:rFonts w:eastAsia="Calibri"/>
        </w:rPr>
        <w:t xml:space="preserve">An electronic medication management system in place. Medication management is in line with the legislation and contractual requirements. Medications are administered by registered nurses and health care assistants who have completed current medication competency requirements. </w:t>
      </w:r>
    </w:p>
    <w:p w:rsidRPr="00A4268A" w:rsidP="00621629">
      <w:pPr>
        <w:spacing w:before="240" w:line="276" w:lineRule="auto"/>
        <w:rPr>
          <w:rFonts w:eastAsia="Calibri"/>
        </w:rPr>
      </w:pPr>
      <w:r w:rsidRPr="00A4268A">
        <w:rPr>
          <w:rFonts w:eastAsia="Calibri"/>
        </w:rPr>
        <w:t>The activity programme is managed by an activities coordinator and overseen by a diversional therapist from another Oceania Healthcare Limited facility. The programme provides residents with a variety of individual and group activities and maintains their links with the community. The service uses its facility van for outings in the community. Family are able to participate in the activities programme.</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current food control certificate. Kitchen staff have food safety qualifications.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displayed. </w:t>
      </w:r>
    </w:p>
    <w:p w:rsidRPr="00A4268A">
      <w:pPr>
        <w:spacing w:before="240" w:line="276" w:lineRule="auto"/>
        <w:rPr>
          <w:rFonts w:eastAsia="Calibri"/>
        </w:rPr>
      </w:pPr>
      <w:r w:rsidRPr="00A4268A">
        <w:rPr>
          <w:rFonts w:eastAsia="Calibri"/>
        </w:rPr>
        <w:t xml:space="preserve">There is a reactive and preventative maintenance programme. This includes equipment and electrical checks. </w:t>
      </w:r>
    </w:p>
    <w:p w:rsidRPr="00A4268A">
      <w:pPr>
        <w:spacing w:before="240" w:line="276" w:lineRule="auto"/>
        <w:rPr>
          <w:rFonts w:eastAsia="Calibri"/>
        </w:rPr>
      </w:pPr>
      <w:r w:rsidRPr="00A4268A">
        <w:rPr>
          <w:rFonts w:eastAsia="Calibri"/>
        </w:rPr>
        <w:t xml:space="preserve">Residents’ bedrooms are of an appropriate size for the safe use and manoeuvring of mobility aids, and to allow for care to be provided. Lounges, dining areas, and sitting alcoves are available for residents and their visitors. External areas and gardens are available, accessible and appropriate.  </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Protective equipment and clothing is provided and used by staff. Chemicals are safely stored. The laundry service is undertaken off-site. Cleaning of the facility is conducted by household staff and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Restraint minimisation is overseen by the restraint coordinator who is a registered nurse. </w:t>
      </w:r>
    </w:p>
    <w:p w:rsidRPr="00A4268A">
      <w:pPr>
        <w:spacing w:before="240" w:line="276" w:lineRule="auto"/>
        <w:rPr>
          <w:rFonts w:eastAsia="Calibri"/>
        </w:rPr>
      </w:pPr>
      <w:r w:rsidRPr="00A4268A">
        <w:rPr>
          <w:rFonts w:eastAsia="Calibri"/>
        </w:rPr>
        <w:t>On the day of the on-site audit, two restraints and one enabler were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to the size and complexity of the service. The infection control nurse is a registered nurse. </w:t>
      </w:r>
    </w:p>
    <w:p w:rsidRPr="00A4268A">
      <w:pPr>
        <w:spacing w:before="240" w:line="276" w:lineRule="auto"/>
        <w:rPr>
          <w:rFonts w:eastAsia="Calibri"/>
        </w:rPr>
      </w:pPr>
      <w:r w:rsidRPr="00A4268A">
        <w:rPr>
          <w:rFonts w:eastAsia="Calibri"/>
        </w:rPr>
        <w:t>The infection control nurse is responsible for the oversight and implementation of infection prevention and control at the facility. Infection control education is provided to staff at orientation and at ongoing education and training days.</w:t>
      </w:r>
    </w:p>
    <w:p w:rsidRPr="00A4268A">
      <w:pPr>
        <w:spacing w:before="240" w:line="276" w:lineRule="auto"/>
        <w:rPr>
          <w:rFonts w:eastAsia="Calibri"/>
        </w:rPr>
      </w:pPr>
      <w:r w:rsidRPr="00A4268A">
        <w:rPr>
          <w:rFonts w:eastAsia="Calibri"/>
        </w:rPr>
        <w:t xml:space="preserve">Infection data is collated, analysed, trended and benchmarked. Monthly surveillance data is reported to staff and to the Oceania Healthcare Limited national office.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38"/>
        <w:gridCol w:w="1280"/>
        <w:gridCol w:w="901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procedures and processes are in place to meet the facility’s obligations in relation to the Code of Health and Disability Services Consumers’ Rights (the Code). Staff interviewed understood the requirements of the Code. Staff were respectful of residents’ rights as observed in their communications with residents and family members; encouraging residents’ independence; and maintaining residents’ dignity and privacy.</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Code is included in the staff orientation process and part of ongoing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guides staff in relation to informed consent and staff interviewed understood the principles and practice of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computerised records evidenced documented consents using the organisation’s standard consent form. This includes consent for photographs, outings, and collection and sharing of health information. Consent is also obtained on an as-required basis, such as for influenza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 directives signed by the residents, in all resident files sampled. Residents confirmed they were supported to make informed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consents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advocacy service is included in the staff orientation programme and in the ongoing education programme for staff. Staff demonstrated understanding of the advocacy service, with contact details for the service readily available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information on the advocacy service as part of the admission process and the availability of printed material about this service. Residents and family members confirmed their awareness of the advocacy service and how to access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COVID-19 pandemic the facility had implemented a new system for family to visit the facility. Visiting can occur 7 days a week between the hours of 10 am to 3 pm. Visitors are required to wear masks and visits take place in the residents’ rooms. Interviews with family members confirmed this system is working well. Family members advised they feel welcome when they visit.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regular outings in the facility’s mobility van. Community groups and entertainers also visit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entry to the facility of the complaint processes and the Code. The complaints forms are displayed and accessible within the facility. Staff interviews confirmed their awareness of the complaints process.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within the facility is the responsibility of the BCM. The review of the 2019 and 2020 complaints evidenced the required processes relating to Right 10 of the Code were followed. There have been no external investigations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(advocacy service). Posters on the Code are displayed in the facility. Pamphlets are available for residents, staff and family on the Code and the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communicated their knowledge about the need to maintain residents’ privacy and were observed doing so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include documentation relating to residents’ abilities and strategies to maximise independence. Residents’ computerised records confirmed that residents’ individual cultural, religious, social needs, values, and beliefs were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of abuse or neglect. Education on abuse and neglect is part of the staff orientation programme and is included in the mandatory staff study days.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confirmed they receive services in a manner that has regard for their dignity, privacy, spirituality, and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Any additional cultural support, if required, would be accessed locally. This was confirmed at interview with the business and care manager (BCM). At the time of the audit there were three residents who identified as Māori. The review of their clinical records confirmed their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Family/whānau are able to visit their family members at the facility and are part of the care planning and evaluation care processes. Interviews with family confirmed they were informed of their family member’s changes in condition when this occurred, are invited to residents’ meetings, receive newsletters, and are involved in multidisciplinary team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were documented in the care plans reviewed. Residents and family members stated they had been consulted about residents’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that residents were free from any type of discrimination or exploitation.</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communicated understanding of what would constitute inappropriate behaviour and the processes they would follow should they suspect this was occurring. Staff orientation includes information related to all forms of discrimination and exploitation, professional boundaries and expected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Healthcare Limited (Oceania) national office personnel provide support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evidence-based policies and procedures, input from external specialist services and allied health professionals. For example: physiotherapists; and wound care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accident/incident forms showed timely communication with residents and/or family members. Communication with family members is recorded in the residents’ clinical records. The residents and family members stated they were kept informed about any changes to their own or their relative’s status, and were advised about incidents or accidents and the outcomes of medical reviews.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(DHB) or interpreter services when required. There were no residents who required interpreting services on audit days, this was confirmed at management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is the governing body, with the executive management team providing support to the facility. The regional clinical and quality manager provided support to the facility during this audit. Monthly management reports provide the Oceania executive management team with progress against key quality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mission statement, values and goals are communicated to residents, staff and family through information booklets and in staff orientation and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BCM who is supported by a clinical leader (CL). The BCM has been employed by Oceania for 14 years in administrative roles and has been in the BCM position for 2 years. </w:t>
            </w:r>
          </w:p>
          <w:p w:rsidR="00EB7645" w:rsidRPr="00BE00C7" w:rsidP="00BE00C7">
            <w:pPr>
              <w:pStyle w:val="OutcomeDescription"/>
              <w:spacing w:before="120" w:after="120"/>
              <w:rPr>
                <w:rFonts w:cs="Arial"/>
                <w:b w:val="0"/>
                <w:lang w:eastAsia="en-NZ"/>
              </w:rPr>
            </w:pPr>
            <w:r w:rsidRPr="00BE00C7">
              <w:rPr>
                <w:rFonts w:cs="Arial"/>
                <w:b w:val="0"/>
                <w:lang w:eastAsia="en-NZ"/>
              </w:rPr>
              <w:t>The clinical care at the facility is overseen by the CL, who is a registered (RN) and has been in this position for approximately six years. The CL previously worked with Oceania as an RN for four years. The management team is supported in their roles by the Oceania executive and regional teams.</w:t>
            </w:r>
          </w:p>
          <w:p w:rsidR="00EB7645" w:rsidRPr="00BE00C7" w:rsidP="00BE00C7">
            <w:pPr>
              <w:pStyle w:val="OutcomeDescription"/>
              <w:spacing w:before="120" w:after="120"/>
              <w:rPr>
                <w:rFonts w:cs="Arial"/>
                <w:b w:val="0"/>
                <w:lang w:eastAsia="en-NZ"/>
              </w:rPr>
            </w:pPr>
            <w:r w:rsidRPr="00BE00C7">
              <w:rPr>
                <w:rFonts w:cs="Arial"/>
                <w:b w:val="0"/>
                <w:lang w:eastAsia="en-NZ"/>
              </w:rPr>
              <w:t>Franklin Rest Home (Franklin) is certified to provide rest home, hospital and dementia levels of care for 44 residents. There were 43 beds occupied at the time of the audit. Occupancy included 2 residents requiring rest home level care, 24 hospital level residents and 17 residents assessed as requiring dementia level of care. The service has contracts with the DHB for the provision of rest home, hospital, dementia and respite care services. There were no residents receiving care under the young people with disabilities (YPD) contract or respite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appropriate systems in place to ensure continuity in the day-to-day operations should the BCM or the CL be absent. The CL, with support from the regional clinical and quality manager, stands in when the BCM is absent. When the CL is absent, a RN takes over the responsibilities of this role, confirmed at BCM interview. </w:t>
            </w:r>
          </w:p>
          <w:p w:rsidR="00EB7645" w:rsidRPr="00BE00C7" w:rsidP="00BE00C7">
            <w:pPr>
              <w:pStyle w:val="OutcomeDescription"/>
              <w:spacing w:before="120" w:after="120"/>
              <w:rPr>
                <w:rFonts w:cs="Arial"/>
                <w:b w:val="0"/>
                <w:lang w:eastAsia="en-NZ"/>
              </w:rPr>
            </w:pPr>
            <w:r w:rsidRPr="00BE00C7">
              <w:rPr>
                <w:rFonts w:cs="Arial"/>
                <w:b w:val="0"/>
                <w:lang w:eastAsia="en-NZ"/>
              </w:rPr>
              <w:t>Oceania support office provides additional assistance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Franklin uses the Oceania quality and risk management framework. The policies and procedures guide service delivery at the facility. The policies are reviewed bi-annually and are linked to the Health and Disability Sector Standards, current and applicable legislation and evidenced based best practice guidelines. New and revised policies are presented to staff to read, and staff sign to confirm they have read and understood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and bi-monthly meetings include: staff meetings; quality meetings; health and safety; RN; infection control and restraint meetings. There was evidence that corrective actions from some meetings are not consistently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incidents and accidents; surveillance of infections; pressure injury and soft tissue/wound reviews;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quality improvement data provided evidenced that the data is being collected, collated, evaluated, and analysed to identify trends. The data is reported to staff and to the national support office. Internal audit schedules and completed audits were reviewed and evidenced corrective action plans were documented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annual plan identifies lists of tasks to ensure safe place of work and adhering to legal requirements. Risks are identified, and there is a hazard register that identifies health and safety risks as well as risks associated with human resource management, legislative compliance, contractual risks and clinical risks, these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satisfaction surveys are completed six-monthly and results confirmed residents’ satisfaction with the levels of care they receive. Results of the satisfaction survey were communicated to the residents and the family via the facility newsletter.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staff are aware of situations in which the service is required to report and notify statutory authorities, including unexpected deaths, police investigations, sentinel events, infectious disease outbreaks and changes in key management roles. The Oceania sentinel report and the HealthCERT Section 31 report, for reporting a facility acquired pressure injury, was evidenced.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recorded on an accident/incident form and on the computerised management system. Staff interviews and review of documentation evidenced that staff document adverse, unplanned or untoward events, which are reviewed and signed off by the BCM and the CL.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reports reviewed had corresponding corrective action plans. There is evidence of open disclosure for recorded events. Staff inform families after adverse events, as confirmed in clinical records and during family and resident interviews. </w:t>
            </w:r>
          </w:p>
          <w:p w:rsidR="00EB7645" w:rsidRPr="00BE00C7" w:rsidP="00BE00C7">
            <w:pPr>
              <w:pStyle w:val="OutcomeDescription"/>
              <w:spacing w:before="120" w:after="120"/>
              <w:rPr>
                <w:rFonts w:cs="Arial"/>
                <w:b w:val="0"/>
                <w:lang w:eastAsia="en-NZ"/>
              </w:rPr>
            </w:pPr>
            <w:r w:rsidRPr="00BE00C7">
              <w:rPr>
                <w:rFonts w:cs="Arial"/>
                <w:b w:val="0"/>
                <w:lang w:eastAsia="en-NZ"/>
              </w:rPr>
              <w:t>Adverse event information is shared at facility meetings. Adverse events are graphed, trends analysed, benchmarking of data is occurring and compared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policies and procedures in relation to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skills and knowledge required for each position is documented in job descriptions. Review of staff files evidenced: employment agreements; reference checks; criminal vetting; drug testing; and completed orientation and competencies. Current copies of annual practising certificates were sighted for staff and contractors that require them to practise. 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annual training and education programme which includes mandatory staff education and training. Staff complete in-service training around a variety of clinical topics. An orientation/induction programme is available and new staff are required to demonstrate competency on a number of tasks, including but not limited to, personal care and emergency and security systems. Health care assistants (HCA) confirmed their role in supporting and buddying new staff. Individual staff attendance records were reviewed and evidenced that ongoing education is provided. Staff who work in the dementia unit have completed dementia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out of five RNs have completed interRAI assessment training and competencies. Annual competencies are completed by care staff, for example: hoist; oxygen use; hand washing; wound management; infection control; medication management; moving and handling; and restraint. Education and training hours for each staff member are at least eight hours a year. The RNs’ training records reviewed evidenced eight hours or more of relevant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Rosters reviewed showed that staffing levels meet resident acuity and bed occupancy. There is use of bureau staff when required. On call is provided by the CL after hours. There are Oceania processes in place to manage staffing during a pandemic and staff and management are aware of these.</w:t>
            </w:r>
          </w:p>
          <w:p w:rsidR="00EB7645" w:rsidRPr="00BE00C7" w:rsidP="00BE00C7">
            <w:pPr>
              <w:pStyle w:val="OutcomeDescription"/>
              <w:spacing w:before="120" w:after="120"/>
              <w:rPr>
                <w:rFonts w:cs="Arial"/>
                <w:b w:val="0"/>
                <w:lang w:eastAsia="en-NZ"/>
              </w:rPr>
            </w:pPr>
            <w:r w:rsidRPr="00BE00C7">
              <w:rPr>
                <w:rFonts w:cs="Arial"/>
                <w:b w:val="0"/>
                <w:lang w:eastAsia="en-NZ"/>
              </w:rPr>
              <w:t>There are 49 staff including: clinical staff; activities coordinator; maintenance person; kitchen and housekeeping staff. There is a RN on duty on each shift. Care staff interviewed reported adequate staff are available and that they can get through their work.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The service retains relevant and appropriate information to identify residents and track residents’ records, including information collected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they are familiar with the electronic record management system. The computerised clinical records are integrated, including information such as medical notes, assessment information and reports from other health professionals in the system. Both residents’ records, clinical and medication charts are in an electronic format. All records are accessible by authorised personnel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and support information can be accessed in a timely manner. Documents containing sensitive resident information are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securely stored and easily retrievable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notes are completed on every shift, detailing resident response to service provision and progress towards identified goals and entered onto the computerised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Prospective residents and/or their families are encouraged where possible to visit the facility prior to admission. Review of residents’ files confirmed implemented entry to service processes, ensuring compliance with entry criteria. Interviews with residents and family, and review of records confirmed the admission process was completed in a timely manner. Residents and family members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The service uses DHB documentation in addition to the services transfer documents,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the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Prescribing practices in line with legislation, protocols and guidelines were observed. The required three-monthly reviews by the GP were recorded electronically. Resident allergies and sensitivities are documented on the electronic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pharmacy pre-packaged medicines that are checked by the RN on delivery to the facility. All stock medications sighted were within current use by dates. A system is in place for returning expired or unwanted medication to the contracted pharmacy. </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interviews with the RN confirmed this. The medication refrigerator temperatures are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checks and six-monthly stocktakes of medications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of the medication administration process and complied with the medicine administration policies and procedures. In interview they demonstrated clear understanding of their roles and responsibilities relating to each stage of medication management The RNs oversee the use of all pro re nata (PRN) medicines and documentation made regarding effectiveness on the electronic medication record and in the progress notes, which were sighted.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 during the on-site audit. A process is in place to ensure ongoing competency of the resident and self-medication is authorised by the GP. Verification of self-administration of medication by the RN occurs and is documented. Safe storage for medication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and served in the dining rooms or in the resident rooms if requested. The seasonal menu has been reviewed by a dietitian, with the winter menu implemented at the time of audit. The food control plan is current and expires in March 2021. Food management training and certificates for cooks and kitchen staff were sighted.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monitored appropriately and recorded. The kitchen staff have relevant food hygiene and infection control training. The kitchen was observed to be clean and the cleaning schedules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the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be given sufficient time to eat their meal and assistance was provided when necessary. There were sufficient staff to ensure appropriate assistance was available.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All dry stock containers are labelled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access is declined. When residents are declined access to the service, residents and their family/whānau, the referring agency and general practitioner (GP) are informed of the decline to entry. The resident would be declined entry if not within the scope of the service or if a bed is not available.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the initial care plan are completed within 24 hours of admission. The initial care plan guides care for the first three weeks. RNs complete the interRAI assessment within the required timeframes. The PCCP is based on the interRAI assessment outcomes. Assessments are recorded, reflecting data from a range of sources, including: the resident; family/whānau; the GP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Assessment tools are reviewed at least six-monthly, including mobility, dietary, oral and dental, pressure injury and continence. Additional assessments were completed according to need, for example wound assessments and behaviour assessments. The outcomes of all assessments, needs and supports required, were reflected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their involvement in the assessment, care planning, review, treatment, and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Person-centred care plans are developed with the resident and family/whānau involvement. All residents’ files sampled had an individualised long-term care plan. Person centred care plans describe interventions in sufficient detail to meet residents’ assessed needs. Short-term care plans are developed for the management of acute problems.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were amended to reflect changes in health status and were reviewed on a regular basis. Care plans included the involvement of allied health professionals in the care of residents for example physiotherapy input and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are managed using an electronic system. Resident files showed service integration with clinical records, activities notes, medical and allied health professionals’ reports and letters. Interviews with residents confirmed that they have input into their care planning and review, and that the care provided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completed by the RN and based on the assessed needs, desired outcomes and goals of residents. Interventions are reviewed within required timeframes. The GP documentation and records reviewed were current. Interviews with residents and families confirmed that care and treatment met residents’ needs. Staff interviews confirmed they are familiar with the needs of residents in the facility. Family communication is recorded in the progress notes. The nursing progress notes and observations are recorded and maintained.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visits the facility once a week. They verified that medical input is sought in a timely manner, that medical orders are followed, and care is of a high standard.</w:t>
            </w:r>
          </w:p>
          <w:p w:rsidR="00EB7645" w:rsidRPr="00BE00C7" w:rsidP="00BE00C7">
            <w:pPr>
              <w:pStyle w:val="OutcomeDescription"/>
              <w:spacing w:before="120" w:after="120"/>
              <w:rPr>
                <w:rFonts w:cs="Arial"/>
                <w:b w:val="0"/>
                <w:lang w:eastAsia="en-NZ"/>
              </w:rPr>
            </w:pPr>
            <w:r w:rsidRPr="00BE00C7">
              <w:rPr>
                <w:rFonts w:cs="Arial"/>
                <w:b w:val="0"/>
                <w:lang w:eastAsia="en-NZ"/>
              </w:rPr>
              <w:t>Monthly observations such as weight and blood pressure are completed and are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(on the electronic database) for thirteen wounds which included five pressure injuries: one unstageable; three stage two and one stage one.  A section 31 had been completed for the unstageable pressure injury. In files reviewed all residents had a pressure injury risk assessment in place and interventions were documented for those residents identified as at risk of developing pressure injuries. There was evidence of referral to the DHB wound clinical nurse specialist and pressure relieving equipment was available. Pressure injuries were reported through the Oceania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Scheduled change of dressings and evaluations had been completed. Adequate dressing supplies were sighted in the treatment rooms. The RNs could describe access to the DHB wound clinical nurse specialist as required. Continence products are available and resident files included urinary continence assessment, bowel management and continence products identified for day use, night use and other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an activities coordinator and overseen by a diversional therapist (DT) from another Oceania facility. Activities for the residents are provided 5 days a week, Monday to Friday 8:30 am to 5:00 pm by the activities coordinator. On weekends a range of activities are made available for residents, staff and family to access. Activities are provided in the morning (8:30 am-12:30 pm) in the rest home and hospital, and in the afternoon (1:00 pm – 5:00 pm) in the dementia unit. The activities programme is displayed on the resident noticeboards. The programme provides variety in the content and includes a range of activities which incorporate education, leisure, cultural, spiritual and community events. Church services are held weekly. Van outings into the community are arranged weekly for the residents living in the rest home and hospital and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assessments are completed within three weeks of the residents’ admission to the facility in conjunction with the admitting RN. Information on the residents’ interests, family and previous occupations is gathered during the interview with the resident and their family and documented. The residents’ activity needs are reviewed six-monthly at the same time the care plans are reviewed and are part of the formal six-monthly multidisciplinary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living in the secure dementia wing have a behaviour assessment on admission. Behaviour management plans for dementia care residents over the 24-hour period included de-escalation and redirection through the use of individual one-on-one time and activities. Health care assistants in the dementia care unit incorporate activities and one-on-one time with residents as part of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 centred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multidisciplinary review involves the CL, RN, and activities staff. Input is sought from HCAs and other allied health professionals involved in the care of the resident. The GP reviews the residents at least three-monthly. Family are notified of the outcome/changes if unable to attend.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changes. Contact with family was verified in the resident’s records and documented in the individual resident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policies and procedures provide guidelines for staff in the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Material safety data sheets are available and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and education in safe and appropriate handling of waste and hazardous substances. There are two sluice rooms at the facility. Staff were observed using personal protective equipment (PPE) and clothing when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current building warrant of fitness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maintenance person confirmed there is a planned and reactive maintenance schedule in place. Monthly building inspections are completed by the provider and by an external contractor.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medical and electrical equipment had been checked for safety and performance verification in accordance with relevant standards. Annual service reports and equipment labels denoting that the equipment has passed performance verification tests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observation of the facility confirmed there is adequate equipment.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mobility access throughout the facility. There are quiet areas at the facility for residents and their visitors to meet. There is access to an internal courtyard and external garden areas with outdoor furniture and shade for rest home and hospital residents. The dementia unit has a secure outdoor area that has been upgraded and provides safe environment for outdoor activities for the residents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hot water temperature testing evidenced temperatures were within safe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Toilets are accessible close to the communal areas. Separate toilets are provided for visitors and staff.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bathroom facilities are of an appropriate design to meet the needs of the residents. Residents’ toilets and bathing areas have handrails and other equipment/accessories to enhance and promote residence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fixtures, fittings, floors and wall surfaces are constructed from materials that can be easily cleaned. Residents and family members reported that there are sufficient toilets and showers.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26 dual purpose residents’ rooms within the facility. There is adequate space for resident, staff and mobility equipment in the room at any time. </w:t>
            </w:r>
          </w:p>
          <w:p w:rsidR="00EB7645" w:rsidRPr="00BE00C7" w:rsidP="00BE00C7">
            <w:pPr>
              <w:pStyle w:val="OutcomeDescription"/>
              <w:spacing w:before="120" w:after="120"/>
              <w:rPr>
                <w:rFonts w:cs="Arial"/>
                <w:b w:val="0"/>
                <w:lang w:eastAsia="en-NZ"/>
              </w:rPr>
            </w:pPr>
            <w:r w:rsidRPr="00BE00C7">
              <w:rPr>
                <w:rFonts w:cs="Arial"/>
                <w:b w:val="0"/>
                <w:lang w:eastAsia="en-NZ"/>
              </w:rPr>
              <w:t>Residents’ rooms are individualised with residents’ own furnishings, photos and other personal possessions. Residents and families are encouraged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single accommodation, with hand washing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lounge and dining area to accommodate rest home and hospital residents. A separate lounge and dining area is located in the dementia unit. All communal areas are easily accessed by residents and staff. Residents and family members can access areas for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laundry service is completed off-site. There are processes in place for daily collection, transportation and delivery of linen. Residents’ laundry is sorted and delivered to their rooms.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the laundry services are audited as part of the internal audit programme. There are cleaners on site during the day, seven days a week. There are safe and secure storage areas for chemicals and cleaning products. The chemicals are administered through a closed system which is managed by a chemical contractor company. The cleaners have specific guidelines to ensure appropriate cleaning processes are completed. The cleaner interviewed confirmed cleaning processes are in place and chemical safety training has occurred.</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and the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for essential, emergency and security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who drive the van to transport residents, are required to complete first aid training. There is at least one designated staff member with first aid training on each shift. Emergency and security management education is provided at staff orientation and at the mandatory in-service education programme. Staff records provided evidence of current training relating to fire, emergency and security.</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security to ensure all entrances are locked after dark. Visitors and contractors are required to sign in and out of visitors’ registers, as observed on audit.</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fire evacuation scheme which has been approved by the New Zealand Fire Service and dated 5 October 2005. Information in relation to emergency and security situations is readily available/displayed for staff, residents and visitors. Fire evacuation trials are completed six-monthly, and were last conducted in May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is accessible, current and stored appropriately with evidence of emergency lighting, torches, gas and barbeque for cooking, extra food supplies, emergency water and blankets.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which includes an escalation system if an activated call is not answered within a specified timeframe. Unanswered call bells are escalated to the RN; CL; the BCM; and the clinical and quality manager, if not answered promptly. All residents have access to a call bell. Call bells are checked monthly by the maintenance person. Residents confirmed staff respond to call bells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in place to ensure the service is responsive to residents’ feedback in relation to heating and ventilation. Residents are provided with adequate natural light, safe ventilation and heating. There are electrical heaters and heat pumps throughout the facility, which are able to be temperature controlled.</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confirmed that rooms are maintained at an appropriate temperature. There is a specific area designated for staff and residents that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Franklin provides an environment that minimises the risk of infection to residents, staff and visitors by implementing an infection prevention and control programme. The CL is the infection control nurse (ICN) and has access to external specialist advice from the DHB ICN. A documented job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The infection prevention and control programme is reviewed annually. Staff are made aware of new infections through daily handovers on each shift, progress notes and clinical records. There are processes in place to isolate infectious residents when required. Hand sanitisers and gels are available for staff, residents, and visitors to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implementing the infection control programme. There is an infection control committee which is made up of staff members from each work area. The committee meets monthly. The ICN has attended training for the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stated that there are adequate human, physical, and information resources to implement the programme. Infection control reports are discussed at the facility’s quality meetings. The ICN has access to all relevant resident data to undertake surveillance, internal audits, and investigations. Staff interviewed demonstrated an understanding of the infection prevention and control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has documented policies and procedures in place that reflect current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complying with the infection control policies and procedures. Staff demonstrated knowledge on the requirements of standard precautions. They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attend infection prevention and control training. Staff education on infection prevention and control is provided by the ICN at orientation and for HCAs at the annual study days. Recently staff have attended training in donning and doffing of PPE and hand washing. Records of attendance are maintained. Staff interviewed confirmed that education on infection prevention and control is provided.</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when possible, is generally on a one-to-one basis and includes reminders about handwashing and remaining in their room if they are unwell. Recently education has been provided at the residents’ meetings about the importance of handwashing. Staff provide education for residents where appropriate about COVID-19 as updates occur. There is information regarding infection prevention and COVID-19 displayed on the noticeboards. Staff receive notifications and updates about infection control via meetings and at handovers. Family are kept informed by a newsletter and emails regarding visiting restrictions and COVID-19 updates.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surveillance policy describes the requirements for infection surveillance and includes the process for internal monitoring. Internal audits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developed to guide care and evaluate treatment for all residents who have an infection. New infections and any required management plans are discussed at handover, to ensure early intervention occurs. Families are updated by phone, email or text if required. </w:t>
            </w:r>
          </w:p>
          <w:p w:rsidR="00EB7645" w:rsidRPr="00BE00C7" w:rsidP="00BE00C7">
            <w:pPr>
              <w:pStyle w:val="OutcomeDescription"/>
              <w:spacing w:before="120" w:after="120"/>
              <w:rPr>
                <w:rFonts w:cs="Arial"/>
                <w:b w:val="0"/>
                <w:lang w:eastAsia="en-NZ"/>
              </w:rPr>
            </w:pPr>
            <w:r w:rsidRPr="00BE00C7">
              <w:rPr>
                <w:rFonts w:cs="Arial"/>
                <w:b w:val="0"/>
                <w:lang w:eastAsia="en-NZ"/>
              </w:rPr>
              <w:t>Surveillance data is collected and collated monthly by the CL and forwarded to the Oceania national office for benchmarking using an electronic system. Information following monthly infection data collection and benchmarking is provided to staff through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ICN confirmed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available to all visitors to the facility. Oceania information including Ministry of Health information was available on site. Stocktakes of PPE occur weekly to ensure that there are adequate infection prevention and control resources available should a resident infection or outbreak occur. There are designated areas for donning and doffing of PPE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is the CL and they provide support and oversight for enabler and restraint management in the facility. The restraint coordinator is conversant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two residents were using restraints. One resident was using bedrails and another was using a chair brief. One resident was using bedrails as an enabler which were the least restrictive and used voluntarily at their request. A similar process is followed for the use of enablers as is used for any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restraint minimisation. Regular training occurs. Review of restraint and enabler use is completed and discussed at all 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process is described in the restraint minimisation policy. The restraint coordinator is the CL with a job description that defines the role and responsibility of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An assessment and management process is followed for the use of both restraints and enablers which ensures the ongoing safety and wellbeing of residents. This includes cultural considerations. The restraint coordinator explained the process for determining approval, for recording, monitoring and evaluating any restraints or enablers used. Family/whanau approval is gained should any resident be unable to do so and any impact on family is also considered. This was evidenced by documentation and files viewed.</w:t>
            </w:r>
          </w:p>
          <w:p w:rsidR="00EB7645" w:rsidRPr="00BE00C7" w:rsidP="00BE00C7">
            <w:pPr>
              <w:pStyle w:val="OutcomeDescription"/>
              <w:spacing w:before="120" w:after="120"/>
              <w:rPr>
                <w:rFonts w:cs="Arial"/>
                <w:b w:val="0"/>
                <w:lang w:eastAsia="en-NZ"/>
              </w:rPr>
            </w:pPr>
            <w:r w:rsidRPr="00BE00C7">
              <w:rPr>
                <w:rFonts w:cs="Arial"/>
                <w:b w:val="0"/>
                <w:lang w:eastAsia="en-NZ"/>
              </w:rPr>
              <w:t>Training for staff occurs at orientation and in the annual study days for HCAs and at the RN training days. The restraint coordinator also requires all staff to complete a competency quiz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restraint/enabler policy details the process for assessment. Assessment covers the need, alternatives attempted, risk, cultural needs, impact on the family, any relevant life events, any advance directives, expected outcomes and when the restraint will end. Completed assessment templates were sighted evidencing assessment, including consultation with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and enablers are only used to maintain resident safety and only as a last resort. The restraint coordinator discusses alternatives with the resident, family/whanau and staff for example low beds and sensor mats.</w:t>
            </w:r>
          </w:p>
          <w:p w:rsidR="00EB7645" w:rsidRPr="00BE00C7" w:rsidP="00BE00C7">
            <w:pPr>
              <w:pStyle w:val="OutcomeDescription"/>
              <w:spacing w:before="120" w:after="120"/>
              <w:rPr>
                <w:rFonts w:cs="Arial"/>
                <w:b w:val="0"/>
                <w:lang w:eastAsia="en-NZ"/>
              </w:rPr>
            </w:pPr>
            <w:r w:rsidRPr="00BE00C7">
              <w:rPr>
                <w:rFonts w:cs="Arial"/>
                <w:b w:val="0"/>
                <w:lang w:eastAsia="en-NZ"/>
              </w:rPr>
              <w:t>Once approved and in use, the restraint is closely monitored and documented. Documentation includes the method approved, when it should be applied, frequency of checks and when it should end. It also details the date, time of application and removal, risk/safety checks, food/fluid intake, pressure area care, toileting, and social interaction during the process.</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conducted measure staff compliance in following restraint procedures. A restraint register is maintained, and updated monthly and reviewed by the restraint coordinator who shares the information with staff at the monthly 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restraints are reviewed and evaluated as per Oceania policy and requirements of the standard. Use of restraints and enablers is evaluated two-monthly or more often according to identified risk. The evaluation includes a review of the process and documentation, including the resident’s care plan and risk assessments, future options to eliminate use and the impact and outcomes achieved.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restraint has been discontinued recently following evaluation and discussion with GP and family. </w:t>
            </w:r>
          </w:p>
          <w:p w:rsidR="00EB7645" w:rsidRPr="00BE00C7" w:rsidP="00BE00C7">
            <w:pPr>
              <w:pStyle w:val="OutcomeDescription"/>
              <w:spacing w:before="120" w:after="120"/>
              <w:rPr>
                <w:rFonts w:cs="Arial"/>
                <w:b w:val="0"/>
                <w:lang w:eastAsia="en-NZ"/>
              </w:rPr>
            </w:pPr>
            <w:r w:rsidRPr="00BE00C7">
              <w:rPr>
                <w:rFonts w:cs="Arial"/>
                <w:b w:val="0"/>
                <w:lang w:eastAsia="en-NZ"/>
              </w:rPr>
              <w:t>Family/whanau are included in the evaluation process. Evaluations are discussed at the monthly quality and clinical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documentation and interview with the CL demonstrated the monitoring and quality review of the use of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schedule was reviewed and included review of restraint minimisation reviews. The content of the internal audits included the effectiveness of restraints, staff compliance, safety and cultural considerations. </w:t>
            </w:r>
          </w:p>
          <w:p w:rsidR="00EB7645" w:rsidRPr="00BE00C7" w:rsidP="00BE00C7">
            <w:pPr>
              <w:pStyle w:val="OutcomeDescription"/>
              <w:spacing w:before="120" w:after="120"/>
              <w:rPr>
                <w:rFonts w:cs="Arial"/>
                <w:b w:val="0"/>
                <w:lang w:eastAsia="en-NZ"/>
              </w:rPr>
            </w:pPr>
            <w:r w:rsidRPr="00BE00C7">
              <w:rPr>
                <w:rFonts w:cs="Arial"/>
                <w:b w:val="0"/>
                <w:lang w:eastAsia="en-NZ"/>
              </w:rPr>
              <w:t>Staff monitor restraint related adverse events while restraint is in use. Any changes to policies, guidelines or education are implemented if indicated. Data reviewed, minutes and interviews with staff including care staff and RNs confirmed that the use of restraint has reduced and is only used as a last resort.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3"/>
        <w:gridCol w:w="1280"/>
        <w:gridCol w:w="5293"/>
        <w:gridCol w:w="2188"/>
        <w:gridCol w:w="22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regular meetings at the facility occurring and minutes of these meetings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do not consistently identify areas requiring improvement. The corrective action process is not always documented identifying the required changes; the persons responsible for the implementation of the corrective actions; timeframes for implementation and the sign off that this has occurred.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arising from meetings are not consistently documented, implemented and signed off when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 plans arising from meetings are documented,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Franklin Rest Home</w:t>
    </w:r>
    <w:bookmarkEnd w:id="58"/>
    <w:r>
      <w:rPr>
        <w:rFonts w:cs="Arial"/>
        <w:sz w:val="16"/>
        <w:szCs w:val="20"/>
      </w:rPr>
      <w:tab/>
      <w:t xml:space="preserve">Date of Audit: </w:t>
    </w:r>
    <w:bookmarkStart w:id="59" w:name="AuditStartDate1"/>
    <w:r>
      <w:rPr>
        <w:rFonts w:cs="Arial"/>
        <w:sz w:val="16"/>
        <w:szCs w:val="20"/>
      </w:rPr>
      <w:t>15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