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Greenvalley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Greenvalley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September 2020</w:t>
      </w:r>
      <w:bookmarkEnd w:id="7"/>
      <w:r w:rsidRPr="009418D4">
        <w:rPr>
          <w:rFonts w:cs="Arial"/>
        </w:rPr>
        <w:tab/>
        <w:t xml:space="preserve">End date: </w:t>
      </w:r>
      <w:bookmarkStart w:id="8" w:name="AuditEndDate"/>
      <w:r w:rsidR="00A4268A">
        <w:rPr>
          <w:rFonts w:cs="Arial"/>
        </w:rPr>
        <w:t>11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Greenvalley is owned and operated by Oceania Healthcare Limited and provides rest home and dementia level care for up to 52 residents. Occupancy on the first day of audit was 41.</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Areas identified as requiring improvement relate to service provision requirements.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provided with information about the Health and Disability Commissioner’s Code of Health and Disability Services Consumers’ Rights on admission. Services are provided that support personal privacy, independence, individuality and dignity. </w:t>
      </w:r>
    </w:p>
    <w:p w:rsidRPr="00A4268A">
      <w:pPr>
        <w:spacing w:before="240" w:line="276" w:lineRule="auto"/>
        <w:rPr>
          <w:rFonts w:eastAsia="Calibri"/>
        </w:rPr>
      </w:pPr>
      <w:r w:rsidRPr="00A4268A">
        <w:rPr>
          <w:rFonts w:eastAsia="Calibri"/>
        </w:rPr>
        <w:t xml:space="preserve">All residents including those who identify as Māori have their needs met in a manner that respects their cultural values and beliefs. </w:t>
      </w:r>
    </w:p>
    <w:p w:rsidRPr="00A4268A">
      <w:pPr>
        <w:spacing w:before="240" w:line="276" w:lineRule="auto"/>
        <w:rPr>
          <w:rFonts w:eastAsia="Calibri"/>
        </w:rPr>
      </w:pPr>
      <w:r w:rsidRPr="00A4268A">
        <w:rPr>
          <w:rFonts w:eastAsia="Calibri"/>
        </w:rPr>
        <w:t>Open communication between staff, residents and family is promoted, and confirmed to be effective. There is access to interpreting services if required. Informed consent is practised, and written consent is gained when required.</w:t>
      </w:r>
    </w:p>
    <w:p w:rsidRPr="00A4268A">
      <w:pPr>
        <w:spacing w:before="240" w:line="276" w:lineRule="auto"/>
        <w:rPr>
          <w:rFonts w:eastAsia="Calibri"/>
        </w:rPr>
      </w:pPr>
      <w:r w:rsidRPr="00A4268A">
        <w:rPr>
          <w:rFonts w:eastAsia="Calibri"/>
        </w:rPr>
        <w:t>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the facility. The vision, mission and values of the organisation are documented and communicated to all concerned.</w:t>
      </w:r>
    </w:p>
    <w:p w:rsidRPr="00A4268A">
      <w:pPr>
        <w:spacing w:before="240" w:line="276" w:lineRule="auto"/>
        <w:rPr>
          <w:rFonts w:eastAsia="Calibri"/>
        </w:rPr>
      </w:pPr>
      <w:r w:rsidRPr="00A4268A">
        <w:rPr>
          <w:rFonts w:eastAsia="Calibri"/>
        </w:rPr>
        <w:t>The facility adheres to the Oceania Healthcare Limited quality and risk management system that includes collection and analysis of quality improvement data, identifies trends and risk mitigation. All data collection and reporting follow a schedule. Meetings are held to discuss key clinical performance indicators, quality and risk issues, resident satisfaction and health and safety.</w:t>
      </w:r>
    </w:p>
    <w:p w:rsidRPr="00A4268A">
      <w:pPr>
        <w:spacing w:before="240" w:line="276" w:lineRule="auto"/>
        <w:rPr>
          <w:rFonts w:eastAsia="Calibri"/>
        </w:rPr>
      </w:pPr>
      <w:r w:rsidRPr="00A4268A">
        <w:rPr>
          <w:rFonts w:eastAsia="Calibri"/>
        </w:rPr>
        <w:t>A business and care manager oversees the facility with the support of a regional clinical and quality manager and a regional operations manager. A clinical manager supervises clinical services. Both the business and care manager and the clinical manager are registered nurses.</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with the Needs Assessment Coordination Service to ensure resident’s access to the service, whenever there is a vacancy.</w:t>
      </w:r>
    </w:p>
    <w:p w:rsidRPr="00A4268A" w:rsidP="00621629">
      <w:pPr>
        <w:spacing w:before="240" w:line="276" w:lineRule="auto"/>
        <w:rPr>
          <w:rFonts w:eastAsia="Calibri"/>
        </w:rPr>
      </w:pPr>
      <w:r w:rsidRPr="00A4268A">
        <w:rPr>
          <w:rFonts w:eastAsia="Calibri"/>
        </w:rPr>
        <w:t xml:space="preserve">The residents’ needs are assessed on admission by registered nurses. Computerised residents’ records provide evidence of documented residents’ assessments, needs, goals and outcomes that are reviewed on a regular basis. Residents’ initial care plans and short-term care plans for acute conditions are conducted within the required timeframes. </w:t>
      </w:r>
    </w:p>
    <w:p w:rsidRPr="00A4268A" w:rsidP="00621629">
      <w:pPr>
        <w:spacing w:before="240" w:line="276" w:lineRule="auto"/>
        <w:rPr>
          <w:rFonts w:eastAsia="Calibri"/>
        </w:rPr>
      </w:pPr>
      <w:r w:rsidRPr="00A4268A">
        <w:rPr>
          <w:rFonts w:eastAsia="Calibri"/>
        </w:rPr>
        <w:t>Nursing care plan evaluations are documented, resident-focused and indicate progress towards meeting the residents’ desired outcomes. There is evidence that each stage of service provision is developed with resident and/or family input and coordinated to promote continuity of service delivery. The residents and family members interviewed reported being informed and involved, and satisfied with services provided.</w:t>
      </w:r>
    </w:p>
    <w:p w:rsidRPr="00A4268A" w:rsidP="00621629">
      <w:pPr>
        <w:spacing w:before="240" w:line="276" w:lineRule="auto"/>
        <w:rPr>
          <w:rFonts w:eastAsia="Calibri"/>
        </w:rPr>
      </w:pPr>
      <w:r w:rsidRPr="00A4268A">
        <w:rPr>
          <w:rFonts w:eastAsia="Calibri"/>
        </w:rPr>
        <w:t>The activities programme includes a wide range of activities and involvement with wider community.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There is an appropriate medicine management system in place. Staff responsible for medicine management have current medication competencies. The residents self-administering medicines do so according to policy.</w:t>
      </w:r>
    </w:p>
    <w:p w:rsidRPr="00A4268A" w:rsidP="00621629">
      <w:pPr>
        <w:spacing w:before="240" w:line="276" w:lineRule="auto"/>
        <w:rPr>
          <w:rFonts w:eastAsia="Calibri"/>
        </w:rPr>
      </w:pPr>
      <w:r w:rsidRPr="00A4268A">
        <w:rPr>
          <w:rFonts w:eastAsia="Calibri"/>
        </w:rPr>
        <w:t>The menu has been reviewed by a registered dietitian as meeting nutritional guidelines for older people. There is a central kitchen and on-site staff that provide the food service. The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Security systems are in place and staff are trained in emergency procedures, use of emergency equipment and supplies and attend regular fire drills.  </w:t>
      </w:r>
    </w:p>
    <w:p w:rsidRPr="00A4268A">
      <w:pPr>
        <w:spacing w:before="240" w:line="276" w:lineRule="auto"/>
        <w:rPr>
          <w:rFonts w:eastAsia="Calibri"/>
        </w:rPr>
      </w:pPr>
      <w:r w:rsidRPr="00A4268A">
        <w:rPr>
          <w:rFonts w:eastAsia="Calibri"/>
        </w:rPr>
        <w:t>A reactive and preventative maintenance programme is implemented. Electrical equipment is tested as required.</w:t>
      </w:r>
    </w:p>
    <w:p w:rsidRPr="00A4268A">
      <w:pPr>
        <w:spacing w:before="240" w:line="276" w:lineRule="auto"/>
        <w:rPr>
          <w:rFonts w:eastAsia="Calibri"/>
        </w:rPr>
      </w:pPr>
      <w:r w:rsidRPr="00A4268A">
        <w:rPr>
          <w:rFonts w:eastAsia="Calibri"/>
        </w:rPr>
        <w:t xml:space="preserve">Residents bedrooms are of an appropriate size for the safe use and manoeuvring of mobility aids if required and allow for care to be provided. Lounges, dining rooms and sitting alcoves are available for residents and their visitors. Communal and individual spaces are maintained at a comfortable temperature. A call bell system is available to allow residents to access help when needed. </w:t>
      </w:r>
    </w:p>
    <w:p w:rsidRPr="00A4268A">
      <w:pPr>
        <w:spacing w:before="240" w:line="276" w:lineRule="auto"/>
        <w:rPr>
          <w:rFonts w:eastAsia="Calibri"/>
        </w:rPr>
      </w:pPr>
      <w:r w:rsidRPr="00A4268A">
        <w:rPr>
          <w:rFonts w:eastAsia="Calibri"/>
        </w:rPr>
        <w:t xml:space="preserve">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safely stored. Staff use protective equipment and clothing. Laundry is undertaken off site and evaluated for effectiveness. Cleaning of the facility is conducted and monitored by trained household staff.</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policy and procedures and the definitions of restraint and enabler are congruent with the restraint minimisation and safe practice standards. The approval process for enabler use is activated when a resident voluntarily requests an enabler to assist them to maintain independence and/or safety. </w:t>
      </w:r>
    </w:p>
    <w:p w:rsidRPr="00A4268A">
      <w:pPr>
        <w:spacing w:before="240" w:line="276" w:lineRule="auto"/>
        <w:rPr>
          <w:rFonts w:eastAsia="Calibri"/>
        </w:rPr>
      </w:pPr>
      <w:r w:rsidRPr="00A4268A">
        <w:rPr>
          <w:rFonts w:eastAsia="Calibri"/>
        </w:rPr>
        <w:t xml:space="preserve">There were no residents using restraint or requesting the use of enablers on audit days.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and procedures include guidelines on prevention and minimisation of infection and cross infection, and contain all requirements of the standard. </w:t>
      </w:r>
    </w:p>
    <w:p w:rsidRPr="00A4268A">
      <w:pPr>
        <w:spacing w:before="240" w:line="276" w:lineRule="auto"/>
        <w:rPr>
          <w:rFonts w:eastAsia="Calibri"/>
        </w:rPr>
      </w:pPr>
      <w:r w:rsidRPr="00A4268A">
        <w:rPr>
          <w:rFonts w:eastAsia="Calibri"/>
        </w:rPr>
        <w:t xml:space="preserve">The infection prevention and control programme is reviewed annually. New staff are provided with training and orientation in infection control practices and there is on-going infection control education available for all staff. Staff are familiar with infection control measures at the facility. </w:t>
      </w:r>
    </w:p>
    <w:p w:rsidRPr="00A4268A">
      <w:pPr>
        <w:spacing w:before="240" w:line="276" w:lineRule="auto"/>
        <w:rPr>
          <w:rFonts w:eastAsia="Calibri"/>
        </w:rPr>
      </w:pPr>
      <w:r w:rsidRPr="00A4268A">
        <w:rPr>
          <w:rFonts w:eastAsia="Calibri"/>
        </w:rPr>
        <w:t>The infection control surveillance data confirmed that the surveillance programme is appropriate for the size and complexity of the services provided.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20"/>
        <w:gridCol w:w="1280"/>
        <w:gridCol w:w="81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Greenvalley has implemented Oceania Healthcare Limited (Oceania) wide policies, procedures and processes to meet the facility’s obligations in relation to the Code of Health and Disability Services Consumers’ Rights (the Code). </w:t>
            </w:r>
          </w:p>
          <w:p w:rsidR="00EB7645" w:rsidRPr="00BE00C7" w:rsidP="00BE00C7">
            <w:pPr>
              <w:pStyle w:val="OutcomeDescription"/>
              <w:spacing w:before="120" w:after="120"/>
              <w:rPr>
                <w:rFonts w:cs="Arial"/>
                <w:b w:val="0"/>
                <w:lang w:eastAsia="en-NZ"/>
              </w:rPr>
            </w:pPr>
            <w:r w:rsidRPr="00BE00C7">
              <w:rPr>
                <w:rFonts w:cs="Arial"/>
                <w:b w:val="0"/>
                <w:lang w:eastAsia="en-NZ"/>
              </w:rPr>
              <w:t>Training on the Code is provided as part of the orientation process for all staff and included in ongoing training, as was verified in training records. Staff interviewed understood the requirements of the Code and were observed demonstrating respectful communication, encouraging independence, providing options, and maintaining dignity and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guidance to staff. Residents interviewed and clinical files reviewed show that informed consent has been gained appropriately using the organisation’s standard consent form. Advance care planning, establishing and documenting enduring power of attorney (EPOA) requirements and processes for residents who are unable to consent, are defined and documented, as relevant, in the resident’s record.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interviewed were aware of the advocacy service, how to access this and their right to have a support person.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restricted visiting hours, this is directly related to COVID-19 (level 2.5). Family are welcome if an appointment is made. Greenvalley encourages visits from residents’ family and friends and under normal circumstances there is unrestricted visiting hours.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family on admission and those interviewed knew how to make a complaint if should they need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3 complaints have been received over the past 18 months and that actions taken, through to an agreed resolution, are documented and completed within required timeframes. Action plans show any required follow up and improvements have been made where possible. The BCM is responsible for complaints management and follow up. All staff interviewed confirmed a sound understanding of the complaint process and what actions are required. Residents and family interviewed stated they would feel comfortable raising issues with staff and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stated in interview that there have been no complaints with external agencies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information about the Code and the Nationwide Health and Disability Advocacy Service (advocacy service) as part of the admission information provided and discussion on admission with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displayed throughout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their own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involvement with community activities, and participation in clubs of their choosing. Care plans reviewed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described understanding of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Māori health plan that guides staff in meeting the needs of the residents who identify as Māori. Any additional cultural support, if required would be accessed locally. This was confirmed during an interview with the business and care manager (BCM) and clinical manager (CM).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identified as Māori interviewed reported that staff acknowledge and respect their individual cultural needs. Staff support residents in the service who identify as Māori to integrate their cultural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interviews verified that they were consulted on their individual culture, values and beliefs and that staff respected these. Resident’s personal preferences requiring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guided by policies and procedures that outline the process to follow, should they suspect any form of exploitation. Interviews with staff demonstrated that they had a clear understanding of their obligations under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expected behaviours and the Code of Conduct.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Greenvalley implements Oceania policies and procedures which are based on good practice, current legislation and relevant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district nurse wound care specialist, and education of staff. The general practitioner (GP) confirmed the service sought prompt and appropriate medical intervention when required and was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regular Oceania study days to support good practice.</w:t>
            </w:r>
          </w:p>
          <w:p w:rsidR="00EB7645" w:rsidRPr="00BE00C7" w:rsidP="00BE00C7">
            <w:pPr>
              <w:pStyle w:val="OutcomeDescription"/>
              <w:spacing w:before="120" w:after="120"/>
              <w:rPr>
                <w:rFonts w:cs="Arial"/>
                <w:b w:val="0"/>
                <w:lang w:eastAsia="en-NZ"/>
              </w:rPr>
            </w:pPr>
            <w:r w:rsidRPr="00BE00C7">
              <w:rPr>
                <w:rFonts w:cs="Arial"/>
                <w:b w:val="0"/>
                <w:lang w:eastAsia="en-NZ"/>
              </w:rPr>
              <w:t>An example of good practice observed during the audit included the recent development of a sensory garden specifically for residents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and were advised in a timely manner about any incidents or accidents, and the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invited to take part in resident’s meetings that occur monthly as seen in minutes. </w:t>
            </w:r>
          </w:p>
          <w:p w:rsidR="00EB7645" w:rsidRPr="00BE00C7" w:rsidP="00BE00C7">
            <w:pPr>
              <w:pStyle w:val="OutcomeDescription"/>
              <w:spacing w:before="120" w:after="120"/>
              <w:rPr>
                <w:rFonts w:cs="Arial"/>
                <w:b w:val="0"/>
                <w:lang w:eastAsia="en-NZ"/>
              </w:rPr>
            </w:pPr>
            <w:r w:rsidRPr="00BE00C7">
              <w:rPr>
                <w:rFonts w:cs="Arial"/>
                <w:b w:val="0"/>
                <w:lang w:eastAsia="en-NZ"/>
              </w:rPr>
              <w:t>The need for access to interpreters is assessed on admission to the facility. Access to interpreters is organised through family members or the district health board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Greenvalley is owned and operated by Oceania with the board and executive team providing direction and support to the service. The organisation has vision, mission and value’s in place which are resident centred. The organisation’s values were displayed in the foyer of the facility. Oceania develops annual objectives for the quality of service delivery, performance and risks at a national level. The BCM reported the national objectives have been adopted at a facility level for 2020, this is related to the impact of COVID-19 on facilities. The BCM reports monthly to a regional operations manager on key performance indicators.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BCM who has been in the role for the past two years. The BCM was the CM at the facility for two years prior to this appointment. The CM was appointed to the position ten months ago, having had previous experience in rest homes in New Zealand for six years. Both BCM and CM are registered nurses (RNs) with current practicing certificates. The managers maintain their knowledge of the sector through representation and participation in aged care forums and seminars.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hospital and rest home for up to 52 residents. The facility is certified for 32 rest home beds and 20 dementia level care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a total of 41 residents in the facility, 21 receiving rest home level care, 1 receiving respite care and 19 receiving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Contracts with the DHB include rest home level care, dementia level care and respite care. There was 1 resident receiving respite care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short-term absence of the BCM, the responsibilities of the BCM will be carried out by the CM, with support from the regional clinical quality manager (CQM) to ensure the day-to day operations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CM is supported by senior RNs who can help cover leave if necessary.</w:t>
            </w:r>
          </w:p>
          <w:p w:rsidR="00EB7645" w:rsidRPr="00BE00C7" w:rsidP="00BE00C7">
            <w:pPr>
              <w:pStyle w:val="OutcomeDescription"/>
              <w:spacing w:before="120" w:after="120"/>
              <w:rPr>
                <w:rFonts w:cs="Arial"/>
                <w:b w:val="0"/>
                <w:lang w:eastAsia="en-NZ"/>
              </w:rPr>
            </w:pPr>
            <w:r w:rsidRPr="00BE00C7">
              <w:rPr>
                <w:rFonts w:cs="Arial"/>
                <w:b w:val="0"/>
                <w:lang w:eastAsia="en-NZ"/>
              </w:rPr>
              <w:t>The CQM supports the BCM as needed and was observed doing so during the audit. The BCM reported that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and clinical incidents including infections. The system promotes collaboration between the senior management team, regional managers, CMs, staff and residents. Thereby ensuring monitoring and implementation of continuous quality improvement within the organisation. Oceania uses a range of audit and survey data to benchmark its service against other facilities in the network to improve quality and mitigate risk.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adheres to Oceania wide policies and procedures, which are current. </w:t>
            </w:r>
          </w:p>
          <w:p w:rsidR="00EB7645" w:rsidRPr="00BE00C7" w:rsidP="00BE00C7">
            <w:pPr>
              <w:pStyle w:val="OutcomeDescription"/>
              <w:spacing w:before="120" w:after="120"/>
              <w:rPr>
                <w:rFonts w:cs="Arial"/>
                <w:b w:val="0"/>
                <w:lang w:eastAsia="en-NZ"/>
              </w:rPr>
            </w:pPr>
            <w:r w:rsidRPr="00BE00C7">
              <w:rPr>
                <w:rFonts w:cs="Arial"/>
                <w:b w:val="0"/>
                <w:lang w:eastAsia="en-NZ"/>
              </w:rPr>
              <w:t>A document control policy is in place. Staff are informed of policy changes at staff meetings and sign that they have read the changed documents and at interview staff confirmed the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activities are documented. This includes the collection of quality data including the results of internal audits, accidents/incidents reports, health and safety reporting, infection control data, restraint, complaints and resident satisfaction surveys. Clinical indicators are used in the Oceania benchmarking programme. Quality related information is shared with all staff as confirmed in meeting minutes sampled. Monthly residents meeting minutes sighted also confirm that resident feedback is sought and corrective actions put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and internal audits are completed as per the annual planner. Meeting minutes reviewed confirmed that regular review and analysis of quality indicators and related information is reported and discussed at quality, health and safety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Issues are identified for improvements and an action plan is completed.</w:t>
            </w:r>
          </w:p>
          <w:p w:rsidR="00EB7645" w:rsidRPr="00BE00C7" w:rsidP="00BE00C7">
            <w:pPr>
              <w:pStyle w:val="OutcomeDescription"/>
              <w:spacing w:before="120" w:after="120"/>
              <w:rPr>
                <w:rFonts w:cs="Arial"/>
                <w:b w:val="0"/>
                <w:lang w:eastAsia="en-NZ"/>
              </w:rPr>
            </w:pPr>
            <w:r w:rsidRPr="00BE00C7">
              <w:rPr>
                <w:rFonts w:cs="Arial"/>
                <w:b w:val="0"/>
                <w:lang w:eastAsia="en-NZ"/>
              </w:rPr>
              <w:t>A current hazard register identifies health and safety risks and risk ratings associated with different areas of the environment, service delivery and human resource management. The health and safety committee meets monthly to review findings and actions plans which includes a person responsible for the corrective action, a timeframe and an evaluation of the improvement outcomes.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described essential notification reporting requirements, including for pressure injuries. They advised there have been 2 notifications of significant events made to the Ministry of Health, in the past 12 months. One for the appointment of the CM and the other relating to the norovirus outbreak in June 2020. Staff interviewed are aware of the organisation’s policies and processes regarding reporting, notification and management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in an electronic database system. A sample of lodged incidents reviewed showed these were fully completed, including notifying the residents family/EPOA, GP and emergency services when necessary. Staff interviewed commenced the process in the accident/incident electronic form, the registered nurse or CM then checks the data. Accidents/incidents were investigated, action plans developed and actions followed-up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The CM is responsible for reviewing clinical accidents/incidents. The BCM for is responsible for reviewing adverse events such as medication errors or those that have caused significant harm. The BCM is also responsible for investigating the event and developing a corrective action plan to mitigate future risks. Event data is collated, analysed and reported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A national level report is produced monthly and reported through a local level at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annual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Health care assistants (HCA) staff have either completed or commenced a New Zealand Qualification Authority education programme that includes dementia, to meet the requirements of the provider’s agreement with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CM and two RN’s are maintaining their annual competency requirements to undertake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7 days a week (24/7). The facility adjusts staffing levels to meet the changing needs of residents. An afterhours on call roster is in place, with staff reporting that good access to advice is available when needed. Health care assistants reported there were adequate staff available to complete the work allocated to them. Residents and family interviewed supported this. Observations and review of a four-week roster cycle confirmed adequate staff cover has been provided, with staff replaced in any unplanned absence. </w:t>
            </w:r>
          </w:p>
          <w:p w:rsidR="00EB7645" w:rsidRPr="00BE00C7" w:rsidP="00BE00C7">
            <w:pPr>
              <w:pStyle w:val="OutcomeDescription"/>
              <w:spacing w:before="120" w:after="120"/>
              <w:rPr>
                <w:rFonts w:cs="Arial"/>
                <w:b w:val="0"/>
                <w:lang w:eastAsia="en-NZ"/>
              </w:rPr>
            </w:pPr>
            <w:r w:rsidRPr="00BE00C7">
              <w:rPr>
                <w:rFonts w:cs="Arial"/>
                <w:b w:val="0"/>
                <w:lang w:eastAsia="en-NZ"/>
              </w:rPr>
              <w:t>Greenvalley policy is to have all RN’s, HCA, and drivers of the van with a current first aid certificate. Four staff were no longer current, this is directly related to the COVID-19 outbreak. Rescheduling of the course has occurred. A staff member with a current first aid certificate is rostered on each shift. There is a rostered RN on each morning shift, four HCAs on the morning shift, three HCA on the afternoon shift and three HCA’s on each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progress notes are completed in the electronic patient management system every shift, detailing resident response to service provision and progress towards identified goals. Records were legible with the name and designation of the person making the entry identifiable. Residents files reviewed included relevant information on the residents’ care and support information that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privacy and confidentiality. Staff interviews described the procedures for maintaining confidentiality of resident’s records.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hard copy records are held securely on site and are readily retrievable. Residents’ hard copy files are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Clinical notes were current and integrated with GP and allied health service provider notes. This includes interRAI assessments entered into the electronic database.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and the assessment processes are recorded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works with the needs assessment and coordination service (NASC), to ensure access to the service is appropriate and efficiently managed. Data review confirmed that each potential resident is assessed using the interRAI home care assessment tool in the six months before date of their admission. The needs assessments are completed for rest home and dementia levels of care. The organisation obtains information from the NASC service and/or the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Residents who have been assessed by the NASC service as requiring specialist dementia services are only admitted to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facility information pack is available for residents and their family and contains all relevant information. New residents and family/whānau are provided with written information on the service philosophy and practices particular to the dementia unit as per the aged residential care (ARC) contract.</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reviewed evidenced resident and/or family and facility representative sign off. In interviews, residents and family members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exit, discharge or transfer is managed in a planned and coordinated manner. There is appropriate communication between family and other providers, that demonstrate transition, exit, discharge or transfer plans are communicated, when required. At the time of transition, appropriate information is supplied to the person/facility responsible for the ongoing management of the resident. All referrals are documented in the residents’ computerised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computerised medication management system in place with appropriate processes implemented for the system to comply with current legislation requirements and safe practice guidelines. The medication areas evidence an appropriate and secure medicine dispensing system, free from heat, moisture and light, with medicines stored in original dispensed packs. The controlled drug register is maintained and evidenced that weekly checks and six-monthly physical stock takes.</w:t>
            </w:r>
          </w:p>
          <w:p w:rsidR="00EB7645" w:rsidRPr="00BE00C7" w:rsidP="00BE00C7">
            <w:pPr>
              <w:pStyle w:val="OutcomeDescription"/>
              <w:spacing w:before="120" w:after="120"/>
              <w:rPr>
                <w:rFonts w:cs="Arial"/>
                <w:b w:val="0"/>
                <w:lang w:eastAsia="en-NZ"/>
              </w:rPr>
            </w:pPr>
            <w:r w:rsidRPr="00BE00C7">
              <w:rPr>
                <w:rFonts w:cs="Arial"/>
                <w:b w:val="0"/>
                <w:lang w:eastAsia="en-NZ"/>
              </w:rPr>
              <w:t>Regular records of temperature checks for the medicine fridge have readings documenting temperatures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A medication round was observed and evidenced the staff member was knowledgeable about the medicine administered and signed off, as the dose was administered.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self-administering medicines at the facility do so according to policy.</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RN and recorded on an incident form. The resident and/or the designated representative are advised. There is a process for comprehensive analysis of any medication errors, and compliance with this process is verified.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four-week cycle menu provided, that is in line with recognised nutritional guidelines for older people. The Oceania winter menu was approved in May 2020 by a registered dietitian.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 multi-site approved food control plan applicable to all Oceania facilities. Food temperatures are monitored and recorded as part of the food control plan. The food service staff have undertaken a safe food handling qualification and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current residents’ dietary profiles are communicated to the kitchen manager to inform them of the residents’ dietary requirements. Residents’ dietary profiles were in the main kitchen and the satellite kitchen to guide kitchen and care staff when serving food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equipment, to meet residents’ nutritional needs, was sighted. The dementia unit has availability of additional nutritious snacks over a 24-hour period, confirmed at management interviews. The residents' files demonstrated monthly monitoring of individual resident's weight.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residents’ and family interviews, sighted satisfaction surveys and residents’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to inform residents and their family, in an appropriate manner, of the reasons why the resident has been declined entry to the service. This would be implemented, if required.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would be declined entry if not within the scope of the service or if a bed was not available, confirmed at management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needs are assessed on admission to establish an initial care plan. The residents have their needs identified through a variety of information sources that include but are not limited to: the NASC interRAI home care assessments; GPs records; specialists communication; other service providers involved with the resident; the resident; and family. The residents' computerised records evidenced residents' completed discharge/transfer information from the DHB, where required.</w:t>
            </w:r>
          </w:p>
          <w:p w:rsidR="00EB7645" w:rsidRPr="00BE00C7" w:rsidP="00BE00C7">
            <w:pPr>
              <w:pStyle w:val="OutcomeDescription"/>
              <w:spacing w:before="120" w:after="120"/>
              <w:rPr>
                <w:rFonts w:cs="Arial"/>
                <w:b w:val="0"/>
                <w:lang w:eastAsia="en-NZ"/>
              </w:rPr>
            </w:pPr>
            <w:r w:rsidRPr="00BE00C7">
              <w:rPr>
                <w:rFonts w:cs="Arial"/>
                <w:b w:val="0"/>
                <w:lang w:eastAsia="en-NZ"/>
              </w:rPr>
              <w:t>The assessments of residents with dementia include identifying behaviours particular to the resident. This information is gained from previous care givers and, where applicable, the resident’s family/whānau or nominated representative.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computerised residents’ records reviewed evidenced the interRAI assessments were completed within 21 days of the resident’s admission and reviewed 6 monthly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assessments are conducted in a safe and appropriate setting including visits from the GP, allied heath staff and specialists. In interviews, residents and family confirmed their involvement in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 inform the long-term care plan and describe the required support and interventions. Each resident has a long-term nursing care plan based on assessments carried out using the interRAI assessment tool.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individualised, integrated and up to date. The care plan interventions reflect the risk assessments and the level of care required. Short-term care plans are developed, evaluated regularly and signed off when short-term problems are resolved. </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of residents with dementia record prevention-based strategies for minimising episodes of challenging behaviours and descriptions of how the behaviours of the resident are best managed over a 24-hour period.</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receive adequate information for continuity of residents’ care. The residents have input into their care planning and review. Regular GP care is implemented, sighted in current residents’ progress reports and confirmed at GP interview.</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service integration is maintained with residents’ computerised progress notes, that include: activities, medical and allied health professionals’ notations.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documentation, observations and interviews verified the provision of care provided to residents was consistent with the residents’ needs and their desired outcomes. The residents' care plans evidenced detailed interventions based on assessed needs, desired outcomes or goals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residents and family confirmed that current care and treatments meet the resident’s needs. Family communication is recorded in the computerised residents’ records. Residents’ computerised progress notes and observation charts are maintained (refer to 1.3.3.3).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confirmed they are familiar with the current interventions of the residents they were allocated.</w:t>
            </w:r>
          </w:p>
          <w:p w:rsidR="00EB7645" w:rsidRPr="00BE00C7" w:rsidP="00BE00C7">
            <w:pPr>
              <w:pStyle w:val="OutcomeDescription"/>
              <w:spacing w:before="120" w:after="120"/>
              <w:rPr>
                <w:rFonts w:cs="Arial"/>
                <w:b w:val="0"/>
                <w:lang w:eastAsia="en-NZ"/>
              </w:rPr>
            </w:pPr>
            <w:r w:rsidRPr="00BE00C7">
              <w:rPr>
                <w:rFonts w:cs="Arial"/>
                <w:b w:val="0"/>
                <w:lang w:eastAsia="en-NZ"/>
              </w:rPr>
              <w:t>Review of wound management at the facility evidenced wounds are assessed, timely treatment is provided and evaluations occur to ensure wounds are improving or referred to a specialist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appropriate resources and equipment, confirmed at staff interviews and visual observation. The equipment available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assessed by diversional therapists (DTs) to ascertain their activity and social needs and appropriate requirements relating to planned activities. The residents’ activities assessments are analysed to develop two activities programmes in the facility, one for the rest home residents and one for residents in the dementia unit. Review of the activities programmes evidenced the identified residents’ skills, likes, dislikes and interests were reflected in the programmes.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DTs who are employed to plan, facilitate and evaluate the activities programmes. Activities are provided seven days a week with activities staff providing support to clinical staff over sun downing period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the DTs confirmed the activities programmes meet the needs of the service group and the service has appropriate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surveys evaluate the activities programmes six-monthly. Review of the surveys evidenced satisfaction with the activities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exercises and outings are provided for those residents able to partake. The activities programmes include input from external agencies, when able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There were current, individualised activities care plans in the computerised residents’ records. The residents’ individual activities goals were documented and specific activities interventions matched their goals.</w:t>
            </w:r>
          </w:p>
          <w:p w:rsidR="00EB7645" w:rsidRPr="00BE00C7" w:rsidP="00BE00C7">
            <w:pPr>
              <w:pStyle w:val="OutcomeDescription"/>
              <w:spacing w:before="120" w:after="120"/>
              <w:rPr>
                <w:rFonts w:cs="Arial"/>
                <w:b w:val="0"/>
                <w:lang w:eastAsia="en-NZ"/>
              </w:rPr>
            </w:pPr>
            <w:r w:rsidRPr="00BE00C7">
              <w:rPr>
                <w:rFonts w:cs="Arial"/>
                <w:b w:val="0"/>
                <w:lang w:eastAsia="en-NZ"/>
              </w:rPr>
              <w:t>The residents with dementia have a description of the activities that meet the resident's needs in relation to individual diversional, motivational, and recreational therapy during the 24-hour period when challenging behaviours may occur. These activities reflect the resident's former routines and activities that are still familiar to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activity needs are evaluated regularly, as part of the formal six-monthly care plan review. The residents’ activities attendance records are maintained. Family/whanau and friends are welcome to attend all activities during non-restricted visiting times.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meeting minutes evidence residents’ involvement and consultation of the planned activities programmes.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in relation to care planning evaluations are documented and implemented. Formal care plan evaluations, following reassessment to measure the degree of a resident’s response in relation to desired outcomes and goals are carried out by the RNs and documented. Reassessments are completed using the interRAI assessments, every six months or when changes in resident’s health status occurs. Residents with health status changes had completed reassessments using interRAI.</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resident, family, HCA, DT and GP input into care plan evaluations. In interviews, residents and family confirmed their participation in care plan evaluations and multidisciplinary reviews. The residents' care plans sighted were current.</w:t>
            </w:r>
          </w:p>
          <w:p w:rsidR="00EB7645" w:rsidRPr="00BE00C7" w:rsidP="00BE00C7">
            <w:pPr>
              <w:pStyle w:val="OutcomeDescription"/>
              <w:spacing w:before="120" w:after="120"/>
              <w:rPr>
                <w:rFonts w:cs="Arial"/>
                <w:b w:val="0"/>
                <w:lang w:eastAsia="en-NZ"/>
              </w:rPr>
            </w:pPr>
            <w:r w:rsidRPr="00BE00C7">
              <w:rPr>
                <w:rFonts w:cs="Arial"/>
                <w:b w:val="0"/>
                <w:lang w:eastAsia="en-NZ"/>
              </w:rPr>
              <w:t>The residents’ progress notes are entered on each shift and there is evidence residents’ care is evaluated and reported on. If any change is noted, it is reported to the RN or the CM. When resident’s progress is different than expected, the RN contacts the GP, as required. Confirmed at the GP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completed when required. A short-term care plan is initiated for short term concerns, such as infections, changes in mobility and the resident’s general condition. Short-term care plans are reviewed as indicated by the degree of risk noted during the assessment process. Interviews verified residents and family are included and informed of all changes. Family interviews also confirmed that family are notified of any changes in a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processes and supports are in place to provide choices for residents in accessing or referring to other health and/or disability services. Family communication records confirmed family involvement. An effective multidisciplinary team approach is maintained and progress notes detail relevant processes are implemented.</w:t>
            </w:r>
          </w:p>
          <w:p w:rsidR="00EB7645" w:rsidRPr="00BE00C7" w:rsidP="00BE00C7">
            <w:pPr>
              <w:pStyle w:val="OutcomeDescription"/>
              <w:spacing w:before="120" w:after="120"/>
              <w:rPr>
                <w:rFonts w:cs="Arial"/>
                <w:b w:val="0"/>
                <w:lang w:eastAsia="en-NZ"/>
              </w:rPr>
            </w:pPr>
            <w:r w:rsidRPr="00BE00C7">
              <w:rPr>
                <w:rFonts w:cs="Arial"/>
                <w:b w:val="0"/>
                <w:lang w:eastAsia="en-NZ"/>
              </w:rPr>
              <w:t>When required, referrals to non-urgent services are conducted by the GP or the RN. Copies of referrals including radiology; wound care specialist; mental health services for older persons and other health professionals, were sighted in residents’ records reviewed. Referrals are followed up on a regular basis by the GP or the RN. The resident and the family are kept informed of the referral process, as verified by documentation and interviews.</w:t>
            </w:r>
          </w:p>
          <w:p w:rsidR="00EB7645" w:rsidRPr="00BE00C7" w:rsidP="00BE00C7">
            <w:pPr>
              <w:pStyle w:val="OutcomeDescription"/>
              <w:spacing w:before="120" w:after="120"/>
              <w:rPr>
                <w:rFonts w:cs="Arial"/>
                <w:b w:val="0"/>
                <w:lang w:eastAsia="en-NZ"/>
              </w:rPr>
            </w:pPr>
            <w:r w:rsidRPr="00BE00C7">
              <w:rPr>
                <w:rFonts w:cs="Arial"/>
                <w:b w:val="0"/>
                <w:lang w:eastAsia="en-NZ"/>
              </w:rPr>
              <w:t>Acute/urgent referrals are attended to immediately, for example sending the resident to accident and emergency in an ambulance if the circumstances dictate. The GP interview confirmed they are informed of any acute changes in resident’s condition and involved in acute referrals to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provide relevant training for staff. Safety data sheets were available where chemicals are stored. Staff interviewed understood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publicly displayed. Buildings, plant, and equipment comply with relevant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Processes are in place to ensure the environment is hazard free, that residents are safe, and independence is promoted. For example, by the removal of equipment such as linen trolleys and cleaning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interviews confirmed they are aware of the processes to follow to report any required repairs or maintenance is required. They stated that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All rooms have a private toilet and handbasin. Seven rest home beds on the lower level have ensuites facilities. Four communal shower rooms are used in the rest home and dementia unit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hot water temperatures are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Two resident rooms on the lower level are of a size that could accommodate two residents, however, currently there is only one call bell system and no privacy curtains.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 site by an external contractor. Dedicated laundry staff ensure all residents clothing is ironed and returned to the appropriate resident.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small designated cleaning team on each day of the week. All have received appropriate training in the use of chemicals for cleaning purposes. Chemicals are stored in a lockable cupboard in appropriately labelled containers. Sluice rooms are available for the disposal of soiled water and waste.</w:t>
            </w:r>
          </w:p>
          <w:p w:rsidR="00EB7645" w:rsidRPr="00BE00C7" w:rsidP="00BE00C7">
            <w:pPr>
              <w:pStyle w:val="OutcomeDescription"/>
              <w:spacing w:before="120" w:after="120"/>
              <w:rPr>
                <w:rFonts w:cs="Arial"/>
                <w:b w:val="0"/>
                <w:lang w:eastAsia="en-NZ"/>
              </w:rPr>
            </w:pPr>
            <w:r w:rsidRPr="00BE00C7">
              <w:rPr>
                <w:rFonts w:cs="Arial"/>
                <w:b w:val="0"/>
                <w:lang w:eastAsia="en-NZ"/>
              </w:rPr>
              <w:t>Handwashing facilities and hand gel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in 1988. A trial evacuation takes place with a copy sent to the New Zealand Fire Service, the most recent being in September 2020.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Supplies for use in the event of a civil defence emergency, including food, water, blankets, and a gas barbeque were sighted and meet the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family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and/or ranch slider opening onto an outside area. Heating is provided by a variety of ways including heaters in residents’ rooms and heat pumps in the communal areas. Areas were warm and well ventilated throughout the audit, and residents and family confirmed the facility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facility’s environment minimises the risk of infection to residents, staff and visitors by implementing an appropriate infection prevention and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Oceania infection control committee (company wide) is led by the Oceania general manager, working in conjunction with the regional clinical and quality manager team. The organisation has a virtual group of infection control experts who meet monthly and have input into organisation infection control strategies, policies and procedure reviews, confirmed at regional clinical quality manager interview.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(ICN) who is the CM, has access to external specialist advice from: Oceania senior management; GPs and DHB infection control specialists when required. A documented role description for the ICN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The annual review includes all standards relating to infection prevention and control. Infection prevention and control is incorporated in facility’s meetings. Staff are made aware of new infections through daily handovers on each shift and residents’ progress notes, confirmed at staff interviews.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this is required.</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and gels are available throughout the facility for staff, residents and visitors to use. The facility has processes in place for contractors and visitors during COVID-19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and the infection control team are responsible for implementing the infection control programme within the facility. The infection control team meets monthly and is comprised of: the ICN; BCM; RN; kitchen manager; cleaner and a HCA. The ICN has allocated time to implement the infection control programme within the organisation. Review of the infection prevention and control meeting minutes evidenced a standard agenda items covering: infection control clinical indicators; changes within the facility; personal protective equipment; infection control education; infection prevention and control audits; outbreak management and general business.</w:t>
            </w:r>
          </w:p>
          <w:p w:rsidR="00EB7645" w:rsidRPr="00BE00C7" w:rsidP="00BE00C7">
            <w:pPr>
              <w:pStyle w:val="OutcomeDescription"/>
              <w:spacing w:before="120" w:after="120"/>
              <w:rPr>
                <w:rFonts w:cs="Arial"/>
                <w:b w:val="0"/>
                <w:lang w:eastAsia="en-NZ"/>
              </w:rPr>
            </w:pPr>
            <w:r w:rsidRPr="00BE00C7">
              <w:rPr>
                <w:rFonts w:cs="Arial"/>
                <w:b w:val="0"/>
                <w:lang w:eastAsia="en-NZ"/>
              </w:rPr>
              <w:t>Management interview indicated there are adequate human, physical, and information resources to implement the infection prevention and control programme. Infection control reports are discussed at the management quality meetings and monthly staff meetings. The ICN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documented policies and procedures in place that reflect current best practice. The infection control policies and procedures manual was last reviewed in March 2020. Additional policies and procedures manuals are available specific for COVID-19 guidelines.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be in compliance with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undertake orientation that includes infection prevention and control, evidenced in review of staff files. Staff education on infection prevention and control is conducted by ICN and external specialists. Staff interviewed confirmed an understanding of how to implement infection prevention and control activities into their everyday practice. The ICN has attended external infection control education in 2019. Oceania support office and regional CQM have been supporting the facility during COVID-19 pandemic.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maintains infection logs for residents’ infection events. Residents’ files evidenced the residents’ who were diagnosed with an infection had short-term care plans in place. The GP is informed in a timely manner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analysis is completed and reported at monthly staff meetings and entered in the clinical indicators on the Oceania intranet. This information is reviewed by the Oceania clinical quality team and reported to the Oceania board monthly.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short-term care plans and progress notes. This was evidenced during attendance at the staff handover and review of the residents’ computerised records.</w:t>
            </w:r>
          </w:p>
          <w:p w:rsidR="00EB7645" w:rsidRPr="00BE00C7" w:rsidP="00BE00C7">
            <w:pPr>
              <w:pStyle w:val="OutcomeDescription"/>
              <w:spacing w:before="120" w:after="120"/>
              <w:rPr>
                <w:rFonts w:cs="Arial"/>
                <w:b w:val="0"/>
                <w:lang w:eastAsia="en-NZ"/>
              </w:rPr>
            </w:pPr>
            <w:r w:rsidRPr="00BE00C7">
              <w:rPr>
                <w:rFonts w:cs="Arial"/>
                <w:b w:val="0"/>
                <w:lang w:eastAsia="en-NZ"/>
              </w:rPr>
              <w:t>In interviews, the ICN and management confirmed there was an outbreak at the facility in May 2020. There was evidence this was reported to the required authorities and managed according to the Oceania outbreak management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and safe practice policies and procedures meet the requirements of the restraint minimisation and safe practice standards and provide guidance on the safe use of both restraints and enablers. On the days of the audit there were no residents using restraint or requesting the use of enablers.</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CM who demonstrated knowledge of the organisation’s policies, procedures and practices relating to restraint and enabler use. A signed position description for the restraint coordinator was sighted.</w:t>
            </w:r>
          </w:p>
          <w:p w:rsidR="00EB7645" w:rsidRPr="00BE00C7" w:rsidP="00BE00C7">
            <w:pPr>
              <w:pStyle w:val="OutcomeDescription"/>
              <w:spacing w:before="120" w:after="120"/>
              <w:rPr>
                <w:rFonts w:cs="Arial"/>
                <w:b w:val="0"/>
                <w:lang w:eastAsia="en-NZ"/>
              </w:rPr>
            </w:pPr>
            <w:r w:rsidRPr="00BE00C7">
              <w:rPr>
                <w:rFonts w:cs="Arial"/>
                <w:b w:val="0"/>
                <w:lang w:eastAsia="en-NZ"/>
              </w:rPr>
              <w:t>Oceania national restraint authority group annual meeting was conducted in April 2020. The minutes of this meeting confirmed review of restraint practices across Oceania facilities was completed and evidenced reduction of restraint use nationally. Greenvalley remained restraint free in 2019. The restraint register evidenced restraint has also not been used at the facility in 2020.</w:t>
            </w:r>
          </w:p>
          <w:p w:rsidR="00EB7645" w:rsidRPr="00BE00C7" w:rsidP="00BE00C7">
            <w:pPr>
              <w:pStyle w:val="OutcomeDescription"/>
              <w:spacing w:before="120" w:after="120"/>
              <w:rPr>
                <w:rFonts w:cs="Arial"/>
                <w:b w:val="0"/>
                <w:lang w:eastAsia="en-NZ"/>
              </w:rPr>
            </w:pPr>
            <w:r w:rsidRPr="00BE00C7">
              <w:rPr>
                <w:rFonts w:cs="Arial"/>
                <w:b w:val="0"/>
                <w:lang w:eastAsia="en-NZ"/>
              </w:rPr>
              <w:t>Clinical staff interviews confirmed enablers would be used voluntarily at a resident’s request.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30"/>
        <w:gridCol w:w="1280"/>
        <w:gridCol w:w="5487"/>
        <w:gridCol w:w="2054"/>
        <w:gridCol w:w="14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weight is monitored and recorded monthly. Review of the computerised residents’ records which include: vital signs, observations evidenced, the monthly observations of residents’ temperatures, pulse and respiratory rate, and blood pressure were not always completed.</w:t>
            </w:r>
          </w:p>
          <w:p w:rsidR="00EB7645" w:rsidRPr="00BE00C7" w:rsidP="00BE00C7">
            <w:pPr>
              <w:pStyle w:val="OutcomeDescription"/>
              <w:spacing w:before="120" w:after="120"/>
              <w:rPr>
                <w:rFonts w:cs="Arial"/>
                <w:b w:val="0"/>
                <w:lang w:eastAsia="en-NZ"/>
              </w:rPr>
            </w:pPr>
            <w:r w:rsidRPr="00BE00C7">
              <w:rPr>
                <w:rFonts w:cs="Arial"/>
                <w:b w:val="0"/>
                <w:lang w:eastAsia="en-NZ"/>
              </w:rPr>
              <w:t>Food fridge temperature monitoring is completed in the kitchen. A resident’s food fridge located in a resident’s room was set at a designated temperature and had been checked for electrical safety. However, regular temperature monitoring had not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Residents’ monthly vital signs observations are not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ii) Resident’s food fridge is not regularly monitored to ensure it is within the required temperature range.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residents’ vital signs are completed monthly.</w:t>
            </w:r>
          </w:p>
          <w:p w:rsidR="00EB7645" w:rsidRPr="00BE00C7" w:rsidP="00BE00C7">
            <w:pPr>
              <w:pStyle w:val="OutcomeDescription"/>
              <w:spacing w:before="120" w:after="120"/>
              <w:rPr>
                <w:rFonts w:cs="Arial"/>
                <w:b w:val="0"/>
                <w:lang w:eastAsia="en-NZ"/>
              </w:rPr>
            </w:pPr>
            <w:r w:rsidRPr="00BE00C7">
              <w:rPr>
                <w:rFonts w:cs="Arial"/>
                <w:b w:val="0"/>
                <w:lang w:eastAsia="en-NZ"/>
              </w:rPr>
              <w:t>ii) Ensure regular temperature monitoring occurs for resident’s food fridge.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Greenvalley</w:t>
    </w:r>
    <w:bookmarkEnd w:id="58"/>
    <w:r>
      <w:rPr>
        <w:rFonts w:cs="Arial"/>
        <w:sz w:val="16"/>
        <w:szCs w:val="20"/>
      </w:rPr>
      <w:tab/>
      <w:t xml:space="preserve">Date of Audit: </w:t>
    </w:r>
    <w:bookmarkStart w:id="59" w:name="AuditStartDate1"/>
    <w:r>
      <w:rPr>
        <w:rFonts w:cs="Arial"/>
        <w:sz w:val="16"/>
        <w:szCs w:val="20"/>
      </w:rPr>
      <w:t>10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