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Kohatu Resthome Limited - Kohatu Resthome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Kohatu Resthome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Kohatu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September 2020</w:t>
      </w:r>
      <w:bookmarkEnd w:id="7"/>
      <w:r w:rsidRPr="009418D4">
        <w:rPr>
          <w:rFonts w:cs="Arial"/>
        </w:rPr>
        <w:tab/>
        <w:t xml:space="preserve">End date: </w:t>
      </w:r>
      <w:bookmarkStart w:id="8" w:name="AuditEndDate"/>
      <w:r w:rsidR="00A4268A">
        <w:rPr>
          <w:rFonts w:cs="Arial"/>
        </w:rPr>
        <w:t>2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Kohatu Resthome provides rest home level care for up to 24 residents. The service is operated by Kohatu Resthome Limited and managed by a registered nurse manager. The service also provides a day care programme and meals on wheels to local Waitara residents.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Taranaki District Health Board. The audit process included review of policies and procedures, review of residents’ and staff records, observations and interviews with residents, family members, managers, staff and a general practitioner.</w:t>
      </w:r>
    </w:p>
    <w:p w:rsidRPr="00A4268A">
      <w:pPr>
        <w:spacing w:before="240" w:line="276" w:lineRule="auto"/>
        <w:rPr>
          <w:rFonts w:eastAsia="Calibri"/>
        </w:rPr>
      </w:pPr>
      <w:r w:rsidRPr="00A4268A">
        <w:rPr>
          <w:rFonts w:eastAsia="Calibri"/>
        </w:rPr>
        <w:t>There were no areas identified as requiring improvement as a result of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of Kohatu Resthome.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to residents of Kohatu Resthome in a manner that respects the choices, personal privacy, independence, individual needs and dignity of residents.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Maori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A complaints log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describe the vision, purpose, objectives, back-ground of the service, current aspirations and the organisation’s plans for the year. Monitoring of the service and providing information to the governing body is regular and effective. An experienced and suitably qualified person manages the facility.</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any trends and leads to quality improvements. Staff are involved and feedback is sought from residents and families. Adverse events are documented with corrective actions implemented. Any actual and potential risks including health and safety risks, are identified and mitigated. Policies and procedures support service delivery and were current and reviewed regularly.</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performance review. Staffing levels meet the changing needs of the residents.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integrated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management staff of Kohatu Resthome, work closely with the local Needs Assessment and Service Co-ordination Service, to ensure access to the facility is appropriate and efficiently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a diversional therapist and provides residents with a variety of individual and group activities and maintains their links with the community. Two facility vans are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senior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was a current building warrant of fitness. Electrical equipment is tested as required. Communal and individual spaces are maintained at a comfortable temperature. External areas are accessible, safe and provide shade and seating appropriate for the care setting.</w:t>
      </w:r>
    </w:p>
    <w:p w:rsidRPr="00A4268A">
      <w:pPr>
        <w:spacing w:before="240" w:line="276" w:lineRule="auto"/>
        <w:rPr>
          <w:rFonts w:eastAsia="Calibri"/>
        </w:rPr>
      </w:pPr>
      <w:r w:rsidRPr="00A4268A">
        <w:rPr>
          <w:rFonts w:eastAsia="Calibri"/>
        </w:rPr>
        <w:t>Waste and hazardous substances are well managed. Staff use personal protective equipment and clothing. Chemicals, soiled linen and equipment is tested as required. Laundry is undertaken onsite and the process is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All staff have completed first aid training. Residents reported a timely staff response to call bells. Security is well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and meet all requirements of the restraint minimisation standard. There were no enablers or restraints in use at the time of audit. A comprehensive assessment, approval and monitoring process with regular reviews occurs. Use of enablers is voluntary for the safety of residents in response to individual requests. Staff interviewed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the district health board and an external advisor.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with data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89"/>
        <w:gridCol w:w="1280"/>
        <w:gridCol w:w="93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Kohatu Resthome (Kohatu)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Brochures related to the Advocacy Service were available at reception. Family members and residents spoken with were aware of the Advocacy Service, how to access this and their right to have support persons. 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At the time of audit, group outings that involve social interaction with others, is being discouraged due to the related Covid-19 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unrestricted visiting hours and encourages visits from residents’ families. Family members interviewed stated they felt welcome when they visited and comfortable in their dealings with staff. Visits from non-close family members, friends and people living outside the region, is being discouraged at the time of audit due to Covid-19 risks.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Kohatu Resthome has a comprehensive complaint standard to guide staff inclusive of the staff responsibilities, policies and procedures, clear definitions of major and minor complaints, use of advocates and documentation of verbal complaints as per Right 10 of the Code. Confidentiality is maintained when managing all complaints. There is in addition to the complaints standard; a flow chart with all Health and Disability Commissioner (HDC) timeframes. Information on the complaint process is provided to residents and families on admission and those interviewed knew how to do so.</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seven complaints have been received since the previous audit and that actions were taken through to an agreed resolution and are documented and completed within the required timeframes. Action plans showed any required follow up and improvements have been made where possible.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manager (RNM)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HDC complaint received and this was followed through appropriately and effectively closed out by the HDC.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(seven) and family members (ten) interviewed reported being made aware of the Code and the Nationwide Health and Disability Advocacy Service (Advocacy Service) as part of the admission information provided and discussion with staff. The Code is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during discussion with families and the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areas of interest and participation in clubs of their choosing. Each care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four staff members and three residents in Kohatu at the time of audit who identified as Māori. Interviews verified staff can support residents who identify as Māori to integrate their cultural values and beliefs. The principles of the Treaty of Waitangi are incorporated into day to day practice, as is the importance of whānau to Māori residents. There was a current Māori health plan developed with input from cultural advisers.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general practitioner (GP) contacted by phone, expressed satisfaction with the standard of services provided to residents of Kohatu.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The registered nurse (RN) has a record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Kohatu encourages and promotes good practice through evidence based policies, input from external specialist services and allied health professionals, for example, wound care nurse specialist, services for older people, psycho-geriatrician and mental health services for older persons, and education of staff.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ongoing education. All staff are either qualified in caring for the older adult or have commenced training. Staff turnover is low with most caregivers having worked at Kohatu for many years.</w:t>
            </w:r>
          </w:p>
          <w:p w:rsidR="00EB7645" w:rsidRPr="00BE00C7" w:rsidP="00BE00C7">
            <w:pPr>
              <w:pStyle w:val="OutcomeDescription"/>
              <w:spacing w:before="120" w:after="120"/>
              <w:rPr>
                <w:rFonts w:cs="Arial"/>
                <w:b w:val="0"/>
                <w:lang w:eastAsia="en-NZ"/>
              </w:rPr>
            </w:pPr>
            <w:r w:rsidRPr="00BE00C7">
              <w:rPr>
                <w:rFonts w:cs="Arial"/>
                <w:b w:val="0"/>
                <w:lang w:eastAsia="en-NZ"/>
              </w:rPr>
              <w:t>Examples of good practice observed during the audit included a commitment to ongoing improvement in the care provided. This was evidenced through an ongoing initiative aimed at a reduction in the number of residents losing weight and staffs commitment to attendance at ongoing training sessions. Family and resident interviews expressed satisfaction at how friendly, welcoming and committed staff were in ensuring Kohatu was a friendly homelike environment. Family members commended the staff on how they ‘went the extra mile’ to ensure family were kept informed during the Covid-19 lockdown.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Interpreting at the Taranaki District Health Board (TDHB) when required and staff knew how to do so. Staff reported interpreter services were rarely required due to all present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Kohatu business plan 2020 to 2021 outlines the purpose, values, scope, direction and the objectives of the organisation. The documents described annual and longer term objectives, the background of the service, current aspirations and the associated operational plans. A sample of monthly management meeting minutes/records evidenced adequate information to monitor performance is reported including any emerging risks and/or issues.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registered nurse manager who is supported by the owners of the facility. The RNM holds relevant qualifications and has been in this role for 13 years. Responsibilities and accountabilities are clearly defined in a job description and individual employment agreement sighted. The RNM confirmed knowledge of the sector, regulatory and reporting requirements and maintains currency through attending study days and conferences on business management and topics related to the aged care sector.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Taranaki District Health Board (TDHB) and Ministry of Health for rest home level care, respite care and under 65 non-aged care long term support chronic health conditions (LTSCHC). Twenty (20) residents were receiving services on the day of the audit.  Rest home level care (16), under 65 years of age non-aged care (LTSCHC) two residents and there were (2) boarders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RNM is absent, the nominated deputy (2IC) with the assistance of the owners carries out all the required duties under delegated authority. This appointed staff member has worked at this facility for approximately twenty years in various roles. During absence of the RNM, from a clinical perspective, the clinical management is overseen by a senior caregiver and the general practitioner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management system that reflects the principles of continuous quality improvement. This includes management of incidents and complaints, audit activities, a regular resident satisfaction survey, monitoring of outcomes, clinical incidents including infections other key performance indicators (KPIs) such as falls, skin tears and any hospital admissions. The service has a robust system for internal auditing.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for quality indicators and that related information is reported and discussed at the monthly management meetings and staff meetings. Staff interviewed reported involvement in quality and risk management activities through audit responsibilities assigned to them. Relevant corrective actions are developed and implemented to address any shortfalls. Resident and family satisfaction surveys are completed annually. Feedback from residents and families was very positive.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based on best practice and were current. The document review system ensures a systematic and regular review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The RNM described the processes for the identification, monitoring, review and reporting of risks and development of mitigation strategies. The manager was familiar with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reviewed showed these were fully completed, incidents were investigated, action plans developed, and actions followed up in a timely manner. Adverse event data is collated, analysed and reported to the owners at the management meetings held monthly.</w:t>
            </w:r>
          </w:p>
          <w:p w:rsidR="00EB7645" w:rsidRPr="00BE00C7" w:rsidP="00BE00C7">
            <w:pPr>
              <w:pStyle w:val="OutcomeDescription"/>
              <w:spacing w:before="120" w:after="120"/>
              <w:rPr>
                <w:rFonts w:cs="Arial"/>
                <w:b w:val="0"/>
                <w:lang w:eastAsia="en-NZ"/>
              </w:rPr>
            </w:pPr>
            <w:r w:rsidRPr="00BE00C7">
              <w:rPr>
                <w:rFonts w:cs="Arial"/>
                <w:b w:val="0"/>
                <w:lang w:eastAsia="en-NZ"/>
              </w:rPr>
              <w:t>The RNM described essential notification reporting requirements including for pressure injuries. The RNM advised there have been no notifications of significant events made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interviewed reported that the orientation process prepared them well for their role. Staff records reviewed show documentation of completed orientation and performance review after a three month period. Ongoing annual performance appraisals were documented in all staff records sighted.</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annually which includes all mandatory training requirements. The caregivers have either completed or have commenced a New Zealand Qualification Authority education programme to meet the requirements of the provider’s agreement with the TDHB. There are seventeen (17) caregivers nine of whom have completed level 3, one has completed level 4 and two are currently undertaking education for level 4. Two caregivers/cleaners have completed level 2 and three staff members are presently completing level 2. All certificates of attainment are displayed at reception. The RNM and all caregivers employed have current basic first aid certificates dated 14 August 2019. Care staff undertake laundry duties each shift and some trained caregivers perform designated cleaning duties.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RNM is responsible for all resident interRAI assessments, reassessments and updating of the care plans. Records reviewed demonstrated completion of the required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The RNM covers the facility 24/7 seven days a week. Care staff interviewed reported there were adequate staff available to complete the wok allocated to them. Residents and family interviewed supported this. Observation and review of a four-week roster cycle confirmed adequate staff cover has been provided, with staff replaced in any unplanned absence. All care staff have current first aid certificates ensuring (24/7) coverage in case of any incidents/accidents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medication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can enter Kohatu when their required level of care has been assessed and confirmed by the local Needs Assessment and Service Coordination (NASC) Service. Prospective residents and/or their families are encouraged to visit the facility prior to admission and meet with the RN Manager.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details,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interRAI tool for the discharge or transfer of resident information between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to seek additional input and advice showed transfer was managed in a planned and co-ordinated manner. The resident reported being kept well informed during the transfer.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being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self-administered medications at the time of audit. Appropriate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manager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is in line with recognised nutritional guidelines for older people. The menu follows summer and winter patterns and has been reviewed by a qualified dietitian (18-05-2020). No recommendations were made at that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control plan was in place and assessed by the New Plymouth District Council (19-02-2019). This expired in April 2020 and has been unable to be reassessed at this time due to Covid-19 and imposed restrictions. The Council via a phone call verified at audit, they would issue an interim compliance certificate. They are operating under a directive not to enter aged care facilities currently.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were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previous continuous improvement initiative acknowledged in the previous certification audit remains in place. Residents noted to be losing weight have their meals dished up on a coloured plate. This alerts staff and kitchen staff to provide additional assistance and take special note of how much the resident eats. Additional foods are offered if intake is low. All these residents are weighed weekly. A review of these residents’ nutritional records noted all but one of the residents on this programme have gained weight. The resident who has not gained weight has medical records verifying medical management is under review. A continuous improvement cannot however be awarded at this audit as there is no recent ongoing analysis of the initiative.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manager.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Kohatu are initially assessed using a range of nursing assessment tools, such as pain scale, falls risk, skin integrity, cultural and nutritional screening,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In all files reviewed initial assessments were completed as per the policy and within 24 hours of admission. InterRAI assessments were completed within three weeks of admission and at least every six months unless the resident’s condition changes. Interviews, documentation, and observation verified the RNs are familiar with requirement for reassessment of a resident using the interRAI assessment tool when a resident has increasing or changing need levels. A resident has recently been transferred to another facility due to an increase in the level of care required. This process was discussed with the manager.</w:t>
              <w:br/>
              <w:br/>
              <w:t>All residents have current interRAI assessments completed by one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In particular,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diversional therapist.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matched the skills, likes, dislikes and interests identified in assessment data. Activities reflected residents’ goals, ordinary patterns of life and included normal community activities. Individual, group activities and regular events are offered. Examples included exercises, dancing, crafts, visiting entertainers, quiz sessions and daily news updates. The activities programme is discussed at the monthly residents’ meetings. Minutes indicate residents’ input is sought and responded to.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Outings that involve socialising with other rest home residents and the public have been ceased at this time due to Covd-19 risks. Outings at this time include drives and activities and entertainment within the facility which have increased. A social media page was started during Covid-19, to keep families in touch and informed about what was going on at Kohatu. Videos and photos were posted.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manager.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RN responds by initiating changes to the plan of care. Examples were sighted of short-term care plans being consistently reviewed for infections, pain,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or RN sends a referral to seek specialist input. Copies of referrals were sighted in residents’ files, including to older persons’ mental health services, eye specialists, urologists, and wound care specialists.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infectious and hazardous substances. Appropriate storage is available outside of the facility in a locked shed. Signage is displayed where necessary. An external company is contracted to supply and manage all chemicals and cleaning products and they also provide relevant training for staff. Material safety data sheets (MSDS) were available where chemicals are stored and staff interviewed knew what to do should any chemical spill/event occur.</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personal protective clothing and equipment (PPE) and staff were observed wearing this. Adequate stocks of PPE resources were sighted and are readily available for Covid-19 level 2 or any other pandemic events that arise.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(BWOF) is framed and publicly displayed in the entrance to the facility. The building warrant of fitness (BWOF) was dated expiry of 07 March 2021.</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were in place to ensure the residents’ physical environment and facilities are fit for their purpose and are maintained. The maintenance person who has been employed for four months was interviewed and was well informed of all responsibilities involved with this role. The testing and tagging of electrical equipment and calibration of bio medical equipment was current as confirmed in documentation reviewed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were safely maintained and appropriate to the resident group and setting. Residents and staff confirmed they know the processes they should follow if any repairs or maintenance is required, that any requests are appropriately actioned by the maintenance person and that they were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Only one room has a designated toilet.  All rooms have a hand basin. Toilets and showers were in close proximity to the residents’ individual rooms. Appropriately secured and approved handrails are provided in the toilet/shower areas and other equipment/accessories are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personal space provided to allow residents and staff to move around within their bedrooms safely. There are eighteen (18) individual and three designated shared rooms. No residents were sharing rooms at the time of the audit. Rooms were personalised with furnishings, photographs and other personal items being displayed. There was room to store mobility aids, wheelchairs and mobility scooters if needed. Staff and residents reported the adequacy of bedrooms and a homely environment is encouraged. Two hoists are available at the facility if needed, one being a standing/sling transfer hoist and one a transfer hoist.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relax in and/or engage in activities. There is one large lounge with a conservatory and one small lounge accessible for residents and staff. Furniture is appropriate to the setting and to meet residents’ needs. The conservatory and small areas with tables and chairs are available for dining purposes. The small lounge can be used if a resident wishes to have some privacy or a meal with family/whanau.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Clean and dirty flow and designated areas were observed in the laundry. Handling of dirty laundry was observed and managed safely by staff involved. The care staff interviewed in a group demonstrated a sound knowledge of the laundry processes. Care staff were responsible for the laundry during their respective shifts. Material data sheets were observed in the laundry. Residents/family interviewed reported the laundry was well managed and the individual resident’s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designated cleaning team of care staff who have received appropriate training. All equipment and resources are readily available and cleaning schedules are in place for daily, weekly and monthly cleaning. Two of three staff designated to be cleaners have completed the New Zealand Qualifications Authority Certificate in Cleaning (Level 2) and one is presently completing this training as confirmed in interview of cleaning staff and review of training records. Chemicals were stored appropriately and were in appropriately labelled containers.</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via the New Plymouth Fire Service, 31 March 1995. A trial evacuation takes place six monthly with a copy sent to the New Zealand Fire Service, the most recent was 16 July 2020. The orientation programme includes fire and security training. Staff interviewed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a gas BBQ were sighted and meet the requirements for the twenty (20) residents as per the occupancy rate on the day of the audit. Two water storage tanks (for cleaning and laundry services) are located near the garage which stores all emergency resources inclusive of spare drinking water, PPE resources, continence products and other emergency supplies. The water stored meets the requirements of the New Plymouth Council for any emergency situation. A large waste bin holds all additional emergency equipment such as torches and non-perishable goods and this is checked regularly. There is no generator on site at the facility; however, the owner has access to two generators if and when needed. Emergency lighting is regularly tested. Each individual resident has a named grab bag in their wardrobe which contains a change of clothes, a torch and a fruit or chocolate bar for any emergency if evacuation is required.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bell system audits are completed as part of the internal audit system and residents and families reported that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 and windows are locked at a predetermined time and staff ensure regular checks occur of the premises at night. Security cameras are in place throughout the facility and residents’, staff and families are fully informed. Privacy is respected at all times. Night lights were evident in the hallways in each of the rest home wings during the tour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by a ducted ventilation system in the ceiling with vents opening into each individual resident’s room and all communal rooms. Some rooms have doors that open into the courtyard. All areas were warm and well ventilated throughout the audit and residents and families confirmed the facility is maintained at a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Kohatu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by an external IPC advisory company with input from the RN manager.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RN manager is the designated infection control coordinator, whose role and responsibilities are defined in a job description. Infection control matters, including surveillance results, are reported monthly and tabled at the monthly staff meetings and six weekly management meetings. Infection control statistics are kept in the organisation’s infection database. The owner is informed of any infection control concerns.</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It also requests anyone to sign in on the Covid-10 QR code or manually, for contact tracing if needed. Anyone who is not a regular visitor to Kohatu, is questioned about the need to visit prior to entering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provides guidance for staff about how long they must stay away from work if they have been unwell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Covid-19 management plan is in place as is an up to date pandemic plan. Staff are fully aware of the need to get a Covid-19 test if they are unwell, and to remain off work until it is clear. Family members and residents reported they are well informed regarding Covid-19 risks and Kohatu’s management strategies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(ICC) has appropriate skills, knowledge, and qualifications for the role. The ICC has undertaken training in infection prevention and control and attended relevant study days, as verified in training records sighted. Well-established local networks with the infection control team at the TDHB are available and expert advice from an external IPC advisory company, of which Kohatu subscribes to is also available.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and PPE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the ICC and the infection control nurse from the TDHB.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An example of this occurred with the recent and ongoing Covid-19 outbreak. Education around this is ongoing.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and advice about remaining in their room if they are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reviews all reported infections. Monthly surveillance data is collated and analysed to identify any trends, possible causative factors and required actions. Results of the surveillance programme are shared with staff via staff meetings and at staff handovers. Surveillance data is entered in the organisation’s infection control database.  Graphs are produced that identify trends for the current year, and comparisons against previous years.  </w:t>
            </w:r>
          </w:p>
          <w:p w:rsidR="00EB7645" w:rsidRPr="00BE00C7" w:rsidP="00BE00C7">
            <w:pPr>
              <w:pStyle w:val="OutcomeDescription"/>
              <w:spacing w:before="120" w:after="120"/>
              <w:rPr>
                <w:rFonts w:cs="Arial"/>
                <w:b w:val="0"/>
                <w:lang w:eastAsia="en-NZ"/>
              </w:rPr>
            </w:pPr>
            <w:r w:rsidRPr="00BE00C7">
              <w:rPr>
                <w:rFonts w:cs="Arial"/>
                <w:b w:val="0"/>
                <w:lang w:eastAsia="en-NZ"/>
              </w:rPr>
              <w:t>A 2020 analysis of infection data identified a much lower rate of respiratory tract infections this year compared to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observed using restraints and/or enablers. The restraint register was reviewed and no restraints or enablers have been used since the previous audit. Enablers when in use, are the least restrictive and are used voluntarily at a resident’s request. A similar process is followed for the use of enablers as is used for restraints. Restraint is used as a last resort only when all alternatives have been explored.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Kohatu Resthome Limited - Kohatu Resthome</w:t>
    </w:r>
    <w:bookmarkEnd w:id="58"/>
    <w:r>
      <w:rPr>
        <w:rFonts w:cs="Arial"/>
        <w:sz w:val="16"/>
        <w:szCs w:val="20"/>
      </w:rPr>
      <w:tab/>
      <w:t xml:space="preserve">Date of Audit: </w:t>
    </w:r>
    <w:bookmarkStart w:id="59" w:name="AuditStartDate1"/>
    <w:r>
      <w:rPr>
        <w:rFonts w:cs="Arial"/>
        <w:sz w:val="16"/>
        <w:szCs w:val="20"/>
      </w:rPr>
      <w:t>1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