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Russley Village Limited - Ashley Suites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Russley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Ashley Suites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September 2020</w:t>
      </w:r>
      <w:bookmarkEnd w:id="7"/>
      <w:r w:rsidRPr="009418D4">
        <w:rPr>
          <w:rFonts w:cs="Arial"/>
        </w:rPr>
        <w:tab/>
        <w:t xml:space="preserve">End date: </w:t>
      </w:r>
      <w:bookmarkStart w:id="8" w:name="AuditEndDate"/>
      <w:r w:rsidR="00A4268A">
        <w:rPr>
          <w:rFonts w:cs="Arial"/>
        </w:rPr>
        <w:t>8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Russley Village provides rest home and hospital level care for up to 44 residents in care suites and receiving high level assisted living packages. The service is operated by a limited liability company, the Generus Living Group, which owns a chain of retirement villages and care facilities throughout New Zealand. A clinical services manager is responsible for management of the facility, alongside the overall village manager, with oversight from a business manager. Opening the care suites to residents since the provisional audit has been a purposefully slow process, which residents have appreciated. Residents and family members are very satisfied with the services provided and spoke highly of the organisation.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 contracted allied health provider and a general practitioner.  </w:t>
      </w:r>
    </w:p>
    <w:p w:rsidRPr="00A4268A">
      <w:pPr>
        <w:spacing w:before="240" w:line="276" w:lineRule="auto"/>
        <w:rPr>
          <w:rFonts w:eastAsia="Calibri"/>
        </w:rPr>
      </w:pPr>
      <w:r w:rsidRPr="00A4268A">
        <w:rPr>
          <w:rFonts w:eastAsia="Calibri"/>
        </w:rPr>
        <w:t xml:space="preserve">The audit confirmed that all parts of the standard and contract audited were being met.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can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Residents, family members and staff were conversant with the organisation’s complaint management system.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business plan was current and included a business summary, direction and goals and covers operational excellence for the wider organisation. There are regular monitoring reports about the services developed and subsequently provided to the director at head office. An experienced and suitably qualified person, the clinical services manager, manages the facility with support from a business and care manager and the village manager.   </w:t>
      </w:r>
    </w:p>
    <w:p w:rsidRPr="00A4268A">
      <w:pPr>
        <w:spacing w:before="240" w:line="276" w:lineRule="auto"/>
        <w:rPr>
          <w:rFonts w:eastAsia="Calibri"/>
        </w:rPr>
      </w:pPr>
      <w:r w:rsidRPr="00A4268A">
        <w:rPr>
          <w:rFonts w:eastAsia="Calibri"/>
        </w:rPr>
        <w:t xml:space="preserve">Policies and procedures that support service delivery were current and are being reviewed regularly. </w:t>
      </w:r>
    </w:p>
    <w:p w:rsidRPr="00A4268A">
      <w:pPr>
        <w:spacing w:before="240" w:line="276" w:lineRule="auto"/>
        <w:rPr>
          <w:rFonts w:eastAsia="Calibri"/>
        </w:rPr>
      </w:pPr>
      <w:r w:rsidRPr="00A4268A">
        <w:rPr>
          <w:rFonts w:eastAsia="Calibri"/>
        </w:rPr>
        <w:t xml:space="preserve">The quality and risk management system is based on a detailed quality plan.  Quality improvement data is collected and analyse. Trends are identified where possible and corrective action and/or improvement opportunities implemented. Action plans are evaluated. Staff are involved with different aspects of the quality plan and feedback about the services provided is sought from residents and families. Adverse events are documented with reviews of the number and nature of these constantly occurring. Action plans are implemented when indicated. An organisational risk management plan is in place and reviews of the identified risks are ongoing. Actual and potential risks, including health and safety risks, are mitigated.  </w:t>
      </w:r>
    </w:p>
    <w:p w:rsidRPr="00A4268A">
      <w:pPr>
        <w:spacing w:before="240" w:line="276" w:lineRule="auto"/>
        <w:rPr>
          <w:rFonts w:eastAsia="Calibri"/>
        </w:rPr>
      </w:pPr>
      <w:r w:rsidRPr="00A4268A">
        <w:rPr>
          <w:rFonts w:eastAsia="Calibri"/>
        </w:rPr>
        <w:t xml:space="preserve">The recruitment, orientation and management of staff are based on current good practice. Relevant checks of new employees are undertaken. A systematic approach to identify and deliver ongoing training supports safe service delivery. Regular individual performance reviews are occurring three months after commencement and annually thereafter. There is a high resident to staff ration and staffing levels and skill mixes meet the changing needs of the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in a new condition, meets the needs of residents and was clean. There was a current building warrant of fitness on display.  Electrical and biomedical equipment have been tested as required and safety checks have been completed on manual equipment. Communal and individual spaces are maintained at a comfortable temperature and individuals can alter the temperature in their room as they choose. External areas are accessible, safe and provide shade and seating.  </w:t>
      </w:r>
    </w:p>
    <w:p w:rsidRPr="00A4268A">
      <w:pPr>
        <w:spacing w:before="240" w:line="276" w:lineRule="auto"/>
        <w:rPr>
          <w:rFonts w:eastAsia="Calibri"/>
        </w:rPr>
      </w:pPr>
      <w:r w:rsidRPr="00A4268A">
        <w:rPr>
          <w:rFonts w:eastAsia="Calibri"/>
        </w:rPr>
        <w:t>Waste and hazardous substances are managed according to documented safety guidelines. Staff use protective equipment and clothing, which is readily available. Chemicals, soiled linen and equipment are safely stored. Towels and bedlinen are laundered off site under contract and residents’ personal laundry is completed in an on-site laundry. Cleaning and laundry processes are evaluated for effectiveness.</w:t>
      </w:r>
    </w:p>
    <w:p w:rsidRPr="00A4268A">
      <w:pPr>
        <w:spacing w:before="240" w:line="276" w:lineRule="auto"/>
        <w:rPr>
          <w:rFonts w:eastAsia="Calibri"/>
        </w:rPr>
      </w:pPr>
      <w:r w:rsidRPr="00A4268A">
        <w:rPr>
          <w:rFonts w:eastAsia="Calibri"/>
        </w:rPr>
        <w:t xml:space="preserve">Staff are trained in emergency procedures and use of emergency equipment when they participate in the six-monthly fire evacuation drills.  Emergency supplies are available and checked according to the internal audit programme. Call bell response times are regularly audited for efficacy. </w:t>
      </w:r>
    </w:p>
    <w:p w:rsidRPr="00A4268A">
      <w:pPr>
        <w:spacing w:before="240" w:line="276" w:lineRule="auto"/>
        <w:rPr>
          <w:rFonts w:eastAsia="Calibri"/>
        </w:rPr>
      </w:pPr>
      <w:r w:rsidRPr="00A4268A">
        <w:rPr>
          <w:rFonts w:eastAsia="Calibri"/>
        </w:rPr>
        <w:t xml:space="preserve">Security systems are in place and are monitored. </w:t>
      </w:r>
    </w:p>
    <w:p w:rsidRPr="00A4268A">
      <w:pPr>
        <w:spacing w:before="240" w:line="276" w:lineRule="auto"/>
        <w:rPr>
          <w:rFonts w:eastAsia="Calibri"/>
        </w:rPr>
      </w:pPr>
      <w:r w:rsidRPr="00A4268A">
        <w:rPr>
          <w:rFonts w:eastAsia="Calibri"/>
        </w:rPr>
        <w:t>All residents’ rooms have windows or patio doors that can be opened for ventilation.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restraints were in use on the days of audit and nor have any been used since the care facility opened early 2020. Three people were using an enabler, all of which were being used voluntarily in response to individual requests.  Consent processes have been completed and the enabler use is regularly reviewed by a senior registered nurse. An electronic restraint and enabler register is maintained and includes details of the reviews of the enablers.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1"/>
        <w:gridCol w:w="1280"/>
        <w:gridCol w:w="9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Russley Village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via an online education portal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Family members interviewed stated they felt welcome when they visited and comfortable in their dealings with staff. Due to Covid-19 there have been limitations to visiting and outings, but this was understood and respected by staff, residents,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and compliments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Responsibility for complaints management and follow up sits with the clinical manager who reported a complaint may be escalated to the business and care manager at head office when considered applicable.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ten complaints, six of which were recorded as concerns, have been received since the facility opened. Actions taken, through to an agreed resolution, are documented and each step completed within the required timeframes.  Quality and risk meeting minutes and the complaint register showed any required follow up has occurred and improvements have been made where possible. All staff are required to read a summary of the outcome of the follow-up from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facility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through the prior to admission pack. The Code is displayed in reception areas and beside lifts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maintaining links to community activities such as golf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ongoing via on-line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able to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Cultural safety and Māori Health values is part of the compulsory orientation and ongoing online training. One the day of audit there were no residents or staff that identify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(e.g., those that wished to attend church services).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diabetes nurse specialist, wound care specialist,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Access is available for professional development through the DHB, Healthlearn, and Ministry of Health website.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has not been required due to multicultural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level care is provided in the Ashley Suites, a part of the wider Russley Retirement Village that was officially completed in November 2019. The Russley Village is owned and operated by the Generus Living Group, a privately owned New Zealand company, which has a collection of upscale senior living facilities.  While claiming to recognise the importance of diversity in people and thought, the organisational culture is reported as being based on the values of quality, compassion, innovation, individuality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is reviewed annually and the 2020 – 2021 version provides an executive summary and sections on company direction and goals, human resources, operational excellence – quality and sales and marketing within the current local marketplace. Thirty-six care suites and eight serviced apartments are available in the Ashley suite building and these are promoted for occupation under a care bond agreement, or via a deluxe care package. All 44 beds are certified as swing beds for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services manager, often referred to as the clinical manager is the person who is primarily responsible for management of the care suites. This person is supported by the care and business manager, sales and projects (care and business manager), both at clinical and managerial levels. The care and business manager reports directly to the company director and a team of senior registered nurses report to the clinical manager. Informal reports are prepared by the clinical manager for the Generus Living management team each week and copies of the formal monthly reports were reviewed. These confirm that adequate information to monitor performance is reported including occupancy, staffing, residents’ welfare, emergency calls, financial performance, emerging risks and a summary from the various services such as hospitality, activities and maintenance.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care and business manager, and the clinical services manager are registered nurses, have extensive experience in aged care services, including a variety of management roles, and are suitably qualified for their roles. Despite demonstrations of competence and strong familiarity with their roles, they have both only been in their current roles for a few months. Responsibilities and accountabilities are defined in job descriptions and individual employment agreements.  The clinical manager confirmed knowledge of the sector, regulatory and reporting requirements, and their personal file validated reports of maintaining links with the DHB and undertaking a variety of related training and projects in the wider aged care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to deliver rest home and hospital care and can also have palliative care resident’s single dispensations. There were no residents on this agreement on the day of audit. Ten of the total 21 residents were receiving rest home level care, eight hospital, one respite and two were private paying, one for respite care and one rest home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clinical services manager is absent, the care and business manager (also a registered nurse), the village manager, the registered nurse from the care suites and the village registered nurse are available to support staff and undertake specific duties under delegated authority. The same team of managers/registered nurses are available during absences of key clinical staff. All are experienced in the sector and able to take responsibility for any clinical issues that may arise. Healthcare assistants reported during interview that the current arrangements work well, and this was confirmed by the managers and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described within a quality plan and a number of associated documents and forms. Principles of continuous quality improvement were evident in the plan and in its institution. Issues covered included the management of incidents and complaints, internal and external audit activities, resident satisfaction surveys, monitoring of outcomes, reviews of identified risks, clinical incidents including infections and reviews of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months of quality and risk related meeting minutes were reviewed and confirmed there have been regular review and analysis of quality indicators and that related information is reported and discussed. In addition to a weekly operations meeting and weekly activity related meetings, there have been monthly quality and risk meetings, registered nurse meetings and resident meetings. Separate monthly link meetings cover health and safety and infection control, and another covers falls, restraint/enabler use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their familiarity with policy documents, attendance at meetings, involvement in internal audits, assisting with closing corrective actions and completing records, such as for incidents, when they need to. They also confirmed they have access to information and data related to incidents and infections. Relevant corrective actions are developed and implemented to address any shortfalls. A first resident satisfaction surveys was completed at six months at the end of August 2020. The information has yet to be fully analysed, but the managers have already identified some potentially useful trends to work with, including ensuring people are familiar with how to make a complaint and that information about GP visits is known.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reviewed cover all necessary aspects of the service and contractual requirements, including reference to the interRAI Long Term Care Facility assessment tool and process.  All organisational documents are based on best practice and were current. The document control system ensures a systematic and regular review process, referencing of relevant sources, approval and removal of obsolete documents. Staff access these organisational documents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the business and care manager described the processes for the identification, monitoring, review and reporting of risks and development of mitigation strategies. Risks associated with organisational management are reviewed and managed through head office. The manager is familiar with the Health and Safety at Work Act (2015) and requirements have been implemented. A health and safety review was undertaken at six months, 12 August 2020. Hazard registers for both the Ashley Suites and for the entire village were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documents and flowcharts guide managers and staff in managing incidents and accidents. Staff document adverse and near miss events electronically on an accident/incident form. A sample of incidents forms reviewed showed these were fully completed, incidents were investigated, graphed, action plans developed and actions followed-up in a timely manner when relevant. Adverse event data is collated, analysed and reported to all staff and to head office. This data is also benchmarked against other similar aged care facilities; although to date there has been insufficient information available from this process to use for quality improvement purposes. During an internal review of the data, the clinical services manager did consider the number of falls was too high for the number of residents and undertook a further analysis of the information available. A project involving increasing staff and resident awareness about risks and possible prevention strategies was implemented and although too early to attribute current figures to this, there has already been a decrease in the last two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described essential notification reporting requirements, including for pressure injuries.  They advised there have been two notifications for pressure injuries made to the Ministry of Health, since the provisional audit. No other notifications to authorities have been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an interview process, referee checks, police vetting and validation of qualifications and practising certificates (APCs), where required.   A sample of staff records reviewed confirmed the organisation’s recruitment and employment policies and procedures are being consistently implemented and records are maintained. Copies of APCs of other health professionals attending residents in this facility are also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 and orientation includes all necessary components relevant to the role. Staff reported that the orientation process was comprehensive and prepared them well for their role.  Staff records reviewed showed documentation of completed orientation competencies and checklists. All staff undergo an appraisal process with a manager at 90 days and annually thereafter. Records reviewed confirmed that all relevant staff have an updated current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list of mandatory training requirements is available and continuing education provided on a monthly basis is planned for the current year. Records sighted showed that healthcare assistants have either completed or commenced a New Zealand Qualification Authority education programme to meet the requirements of the provider’s agreement with the DHB. A staff member is an internal assessor for the programme.  E-learning, self-directed learning and presentation style training is available. Healthcare assistants expressed enthusiasm with the training opportunities they have access to with this service provider. All staff have the same requirements and access to education, including those who assist residents in the apartments occupied under an occupation right agreement, and who pay to receive a rest home level care package. All of the registered nurses are maintaining their annual competency requirements to undertake interRAI assessments. Their training records also provided evidence of them having completed a range of practical competencies and undertaken a variety of training including palliative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process for determining staffing levels and skill mixes to provide safe service delivery, 24 hours a day, seven days a week (24/7) is being implemented. The facility adjusts staffing levels to meet the changing numbers and needs of residents.  An afterhours on call system is in place with the clinical manager on call 24/7 and a senior registered nurse relieving for these duties in their absence. The rosters detail the hours of the activities staff, the housekeeper roles and which person on the short shifts is responsible for assisting residents in the serviced apartments occupied under an occupational right agreement. Managers informed and healthcare assistants confirmed that registered nurses do not leave the care suites to assist residents living in the villas and apartments and although most village call bells are responded to by telephone, it is only on rare occasions that a healthcare assistant will be required to leave the care suites for any hands on assistance. Such a decision would always leave a minimum of two staff, one of which would be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roster for kitchen staff. Care staff reported that good access to advice is available when needed and that all of the team works well together.  Healthcare assistants also reported that there are adequate staff available to complete the work allocated to them as there is one healthcare assistant allocated to four residents.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always replaced in any unplanned absence. The service provider has casual workers available and as the healthcare assistants usually work a four-day week they willingly pick up another shift when required. Although all registered nurses and the majority of healthcare assistants have a current first aid certificate, at least one staff member on duty is identifiable on the roster as having a current first aid certificate. The rosters viewed confirmed reports that there is 24/7 registered nurse coverage for the hospital. According to the clinical manager, at this point in time, only registered nurses are responsible for the administration of medicines on each shift. All of the registered nurses have a current interRAI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five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purchase an apartment when independent and remain there through all levels of care. On the day of audit there was one resident receiving rest home care in the apartments and when interviewed stated she was happy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GP input and appropriate documentation sent with the resident.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night staff check medications against the prescription and inputs them into the electronic system. All medications sighted were within current use by dates. Clinical pharmacist input is available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 Medication competency was sighted for both RNs and the second checker and are renewed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 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self-administers medications at the time of audit. Appropriate processes are in place to ensure this is managed in a safe manner and it is reviewed three monthly by the GP.</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medication errors but there is an implemented process in place for comprehensive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Fifteen medication files were reviewed, which reflects the sample of residents’ files reviewed prior to extending the sample.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four qualified chefs and a kitchen team and is in line with recognised nutritional guidelines for older people.  The menu follows summer and winter patterns and has been reviewed by a qualified dietitian within the last two years (11 September 2020).  Recommendations made at that time have been implemented. There is a café and Brasserie in the Village where residents and families can eat or entertain.</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Christchurch City Council (reviewed 24 January 2020). Food temperatures, including for high risk items, are monitored appropriately and recorded as part of the plan. Food prepared in the main kitchen is transported in hot and cold boxes to the Ashley suites and kept on an induction benchtop to maintain temperature, then a chef checks temperatures and garnishes before serving. Conversation is had with residents at the time of the meal about any changes the residents would like.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if required. A menu is provided the day before for residents’ selection, and staff and volunteers are available to assist with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in spacious surroundings.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 On the day of audit full occupancy had not been reached, as the facility has been recently built and new admissions are being staggered to allow for new residents to settle 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mobility, pain scale, falls risk, skin integrity and nutritional screening, as a means to identify any deficits and to inform care planning. The sample of five care plans reviewed had an integrated range of resident-related information. All residents have current interRAI assessments completed by one of six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showed evidence of service integration with progress notes, activities notes, medical and allied health professionals’ notations clearly written, informative and relevant.  Any change in care required is documented and verbally passed on to relevant staff. Anything that needs to be notified to the RN is flagged in the computer generated report when a tick box is clicked, when care staff are documenting in the progress notes.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exemplary. Care staff confirmed that care was provided as outlined in the documentation. A range of equipment and resources was available such as hoists, shower chairs, pressure relieving devices and weighing scales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activities coordinator who has commenced the national Certificate in Diversional Therapy. Volunteers from the Village apartments come and assist on an informal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via satisfaction surveys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can have input into the programme via residents’ meetings. Residents interviewed confirmed they find the programme interesting and engaging.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are aware that the programme is evolving as the occupancy increases. Some expressed a desire for church services to be held which the activities coordinator was able to confirm is being discussed. Activities that are currently held include such things as newspaper reading, mah-jong, cards, outings, happy hour and entertainers when Covid -19 restrictions permit.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purpose of evaluation, the sample group was extended to 10 files as many of the residents had been admitted less than six months ago and had not been formally evaluated on the six-monthly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and the next shift informed of any actions required.</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(STCP) being consistently reviewed and progress evaluated as clinically indicated were noted for urinary tract infections, wounds and weight loss. When necessary long term care plans (LTCP) are updated. If a STCP is in place and unresolved the organisation is proactive in accessing specialist help before transferring to the LTCP.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dietitian and wound specialist clinic. The resident and the family/whānau are kept informed of the referral process, as verified by documentation and interviews. Any acute/urgent referrals are attended to immediately, such as sending the resident to accident and emergency in an ambulance if the circumstances dictate. Advance directives are considered before routinely sending someone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Staff interviewed knew what to do should any chemical spill/event occur and a spill kit and an outbreak kit with relevant protective equipment was available. Hazardous chemicals used by maintenance staff are locked in an outside 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and equipment including masks, goggles, aprons, gloves and hand sanitiser are accessible to staff throughout the facility and staff were observed using these items appropriately. Cleaning trollies are being used and material safety data sheets are in documentation and on display where chemicals are stored.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December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safely maintained. Maintenance staff are responsible for electronic sign off for the completion of any repairs or maintenance tasks that arise. Staff confirmed they know the processes they should follow if any repairs or maintenance are required and that requests are actioned. Although many items are brand new, the testing and tagging of electrical equipment is current, as is the calibration checks of bio medical equipment. This was confirmed via documentation reviewed, interviews with maintenance personnel and observation of the environment. Similarly, mechanical equipment has been checked for safety, wheelchair audits up to date and hot water temperatures are within accepted levels. The environment was hazard free and resident safety is promoted via reminders and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for the residents with varying levels of ability within this retirement village setting.  A transport procedure is in place and the van used to transport residents has a current registration and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46 toilets within the Ashley Suites, which ensures there are adequate numbers of accessible bathroom and toilet facilities.   These include ensuites attached to all care suites as well as toilets near the lounge and dining areas on each level. Appropriately secured and approved handrails are provided in the toilet/shower areas, and other equipment/accessories are available to promote residents’ independence.  Privacy locks are on bathroom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care suites measuring between 22 and 42 square metres excluding the ensuite, there is adequate personal space to allow residents to move around within their care suite safely. Staff expressed appreciation regarding the spacious nature of all care suites. There are no shared rooms; however, in the event a person chooses to share a care suite, there are two-bedroom options available. The occupied care suites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wheelchairs, and a mobility scooter park is downstairs. Residents choose their own care suite and during interviews reported the adequacy of the care suites, which also have a microwave, small fridge, kitchen sink and cabinets. All care suites in the Ashley building have a hospital bed and built in storage units. Care suites in the apartments have standard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suites have a lounge/sitting room in them. Three communal lounge areas with a gas operated fireplace are available, with the main lounge being downstairs. Two spacious dining areas (one on the ground floor and one level one) are available for residents’ use and observations were made of rest home residents eating their mid-day meal with their friends in the retirement village café and dining area. On level two, there is a small quiet area with seating, which residents can access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 courtyard and two decks for external seating. Twelve care suites have their own small balconies beyond the sliding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laundry is undertaken on site in a dedicated laundry. The healthcare assistants share the laundry workload and during interview were able to describe the processes around the clean/dirty flow, laundering of woollens and delicates, and the management of soiled linen, for example. Towels and bedlinen are contracted to an off-site laundry service.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alongside the healthcare assistants who undertake laundry duties, have received appropriate training in chemical handling. Certificates confirming this were evident in staff files. An administration person supports the cleaning staff by ordering supplies and ensuring storage areas are tidy. There is a housekeeping supervisor for the wider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lockable cupboards in the sluice room and the laundry as relevant. All were in appropriately labelled containers with safety data sheets available nearby.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well described in documentation reviewed and the processes are monitored through the internal audit programme. Audits for room cleaning, cleaning and laundry and health and safety – environment and equipment, were undertaken March 2020. Corrective actions had been followed through and systems improvements made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6 December 2019.  A trial evacuation takes place six-monthly with a copy sent to the New Zealand Fire Service, the most recent being on 4 June 2020. Another is scheduled 25 September 2020 in order to capture new staff and for the new maintenance manager to become familiar with requirements. The orientation programme includes fire and security training and staff are required to update and attend one evacuation at least annually.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blankets, mobile phones and gas BBQ’s were sighted and meet The National Emergency Management Agency recommendations for the region.  These were last checked in an internal audit 1 September 2020. Water storage tanks are located around the complex, and there is a generator available should the need arise. The village manager noted that with the proximity to the airport they are a priority district for restoration of any power outage. Emergency lighting and fire-fighting systems are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who require assistance.  Audits on the response times for the call system are completed on a regular basis, or when a concern is raised, and residents and families reported staff generally respond promptly to call bells. Monthly checks on call bell operations are undertaken by the maintenance team. There is a list of people in the village who have an occupation right agreement and may require assistance in an emergency. These people are not receiving full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Maintenance team members undertake security checks daily before leaving the village each afternoon. A security company visits each night on a drive through and checks key designated areas. The village entry gates open and close at pre-set times and staff are aware of what to do in the event of a disturbance. Closed circuit cameras have been installed throughout the grounds and specific internal areas; however residents and family members are fully informed and their use does not compromise personal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suites for residents and the communal areas have windows or patio doors that may be opened for ventilation and provide natural light.  Twelve care suits open directly onto a small balcony and garden area. In addition to a gas fire on each of the three levels, there is both ceiling and floor heating, which is supplemented by heat pumps. The heat pumps assist with cooling in summer. The temperature of each care suite and communal area can be individually adjusted to suit the resident(s).  Each area was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an external quality consultant. The infection control programme and manual are reviewed six monthly (last reviewed 28 April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is the designated IPC coordinator, whose role and responsibilities are defined in a job description. Infection control matters, including surveillance results, are reported monthly at the quality/risk committee meeting. This committee includes the general manager/facility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due to Covid-19 restrictions, Ministry of Health guidelines were being followed; signing in, temperature checks and questionnaire filled in and masks were required by all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He has undertaken DHB training in infection prevention and control, online courses and Southern Community Laboratories training as verified in training records sighted. Additional support and information is accessed from the infection control team at the DHB, the community laboratory, the GP and public health unit and Ministry of Health updates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March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an online education portal. Content of the training is documented and evaluated to ensure it is relevant, current and understood. A record of completion is maintained.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handwashing/sanitising.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education has been provided on recommendation from the Ministry of Health regarding donning and doffing of personal protective equipment and the Covid-19 pandemic plan, with several sessions held to ensure all staff had attended.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and IPC committee. Data is benchmarked within the group.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who is a registered nurse,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restraints in use in this facility and there has not been any used since opening. Three residents were using an enabler with one of these using a lap belt when in a wheelchair and bedrails when in bed and the other two use a lap belt when in a wheelchair. Policies and procedures confirmed these enablers are approved for use in this facility. Signed consent forms were in each of the residents’ personal files and records sighted confirmed they are being used voluntarily.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use is a topic for discussion at the monthly quality and risk meetings and any use is included in the reports that are forwarded to the governance team. Meetings minutes confirmed the use of such devices is discussed. An electronic restraint and enabler register was consistent with reports from the restraint coordinator and with the personal files 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Russley Village Limited - Ashley Suites</w:t>
    </w:r>
    <w:bookmarkEnd w:id="58"/>
    <w:r>
      <w:rPr>
        <w:rFonts w:cs="Arial"/>
        <w:sz w:val="16"/>
        <w:szCs w:val="20"/>
      </w:rPr>
      <w:tab/>
      <w:t xml:space="preserve">Date of Audit: </w:t>
    </w:r>
    <w:bookmarkStart w:id="59" w:name="AuditStartDate1"/>
    <w:r>
      <w:rPr>
        <w:rFonts w:cs="Arial"/>
        <w:sz w:val="16"/>
        <w:szCs w:val="20"/>
      </w:rPr>
      <w:t>7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