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Bima Health Limited - Sunhaven Rest Home &amp; Private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Bima Health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Sunhaven Rest Home &amp; Private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Dementia care; Residential disability services - Psychiatric</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August 2020</w:t>
      </w:r>
      <w:bookmarkEnd w:id="7"/>
      <w:r w:rsidRPr="009418D4">
        <w:rPr>
          <w:rFonts w:cs="Arial"/>
        </w:rPr>
        <w:tab/>
        <w:t xml:space="preserve">End date: </w:t>
      </w:r>
      <w:bookmarkStart w:id="8" w:name="AuditEndDate"/>
      <w:r w:rsidR="00A4268A">
        <w:rPr>
          <w:rFonts w:cs="Arial"/>
        </w:rPr>
        <w:t>5 August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Sunhaven Rest Home &amp; Private Hospital (referred to as Sunhaven) can provide care for up to 40 residents/consumers. There is a dementia unit, psychogeriatric unit and residential disability – psychiatric unit. The residential disability – psychiatric unit has been operating since October 2018 and was added to the service under discussions with the district health board (DHB). The dementia and psychogeriatric areas are secure. The mental health consumers are able to come and go.</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organisation’s contract with the DHB. The audit process included the review of policies and procedures; a sample of resident/consumers and staff files; observations, and interviews with family/whanau, management, staff, the owner/proprietor and visiting allied health professionals. </w:t>
      </w:r>
    </w:p>
    <w:p w:rsidRPr="00A4268A">
      <w:pPr>
        <w:spacing w:before="240" w:line="276" w:lineRule="auto"/>
        <w:rPr>
          <w:rFonts w:eastAsia="Calibri"/>
        </w:rPr>
      </w:pPr>
      <w:r w:rsidRPr="00A4268A">
        <w:rPr>
          <w:rFonts w:eastAsia="Calibri"/>
        </w:rPr>
        <w:t>The organisation has achieved full compliance to this standard and their contract with the DHB. Two areas of continuous improvement were identified relating to the quality improvement programme and staff education.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provides care that reflects the Code of Health and Disability Services Consumer Rights (the Code). Information about the Code is promoted and shared with consumers, family/whanau members and staff. Residents/consumers are encouraged to maintain cultural customs and connections with their community. Care and support are delivered in line with good practice. Communication needs are met. Consumers and family/whanau advised that the service treats them with dignity and respect. The complaints process complies with consumer rights legislation.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 is governed by the owner/proprietor. The mission statement, vision, goals and philosophy are reviewed, documented and displayed. Business objectives and responsibilities are defined. Organisational performance is monitored. Day to day management is the responsibility of the facility manager, owner and clinical manager. </w:t>
      </w:r>
    </w:p>
    <w:p w:rsidRPr="00A4268A">
      <w:pPr>
        <w:spacing w:before="240" w:line="276" w:lineRule="auto"/>
        <w:rPr>
          <w:rFonts w:eastAsia="Calibri"/>
        </w:rPr>
      </w:pPr>
      <w:r w:rsidRPr="00A4268A">
        <w:rPr>
          <w:rFonts w:eastAsia="Calibri"/>
        </w:rPr>
        <w:t xml:space="preserve">There is a documented and implemented quality and risk management system. The required policies and procedures are documented. Quality outcomes data is collected and analysed to improve service delivery.  Quality improvements are developed, implemented and monitored. An internal audit schedule is implemented. Adverse events are managed in line with best practice and reported as required.  </w:t>
      </w:r>
    </w:p>
    <w:p w:rsidRPr="00A4268A">
      <w:pPr>
        <w:spacing w:before="240" w:line="276" w:lineRule="auto"/>
        <w:rPr>
          <w:rFonts w:eastAsia="Calibri"/>
        </w:rPr>
      </w:pPr>
      <w:r w:rsidRPr="00A4268A">
        <w:rPr>
          <w:rFonts w:eastAsia="Calibri"/>
        </w:rPr>
        <w:t>The human resource management system has been maintained and is consistent with accepted practice.  There is a clearly documented rationale for determining staff levels and staff mix to provide safe service delivery for all residents.</w:t>
      </w:r>
    </w:p>
    <w:p w:rsidRPr="00A4268A">
      <w:pPr>
        <w:spacing w:before="240" w:line="276" w:lineRule="auto"/>
        <w:rPr>
          <w:rFonts w:eastAsia="Calibri"/>
        </w:rPr>
      </w:pPr>
      <w:r w:rsidRPr="00A4268A">
        <w:rPr>
          <w:rFonts w:eastAsia="Calibri"/>
        </w:rPr>
        <w:t>Consumer information is fully documented and maintained securely.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Sunhaven is efficiently managed with relevant information provided to the potential consumers.</w:t>
      </w:r>
    </w:p>
    <w:p w:rsidRPr="00A4268A" w:rsidP="00621629">
      <w:pPr>
        <w:spacing w:before="240" w:line="276" w:lineRule="auto"/>
        <w:rPr>
          <w:rFonts w:eastAsia="Calibri"/>
        </w:rPr>
      </w:pPr>
      <w:r w:rsidRPr="00A4268A">
        <w:rPr>
          <w:rFonts w:eastAsia="Calibri"/>
        </w:rPr>
        <w:t xml:space="preserve">The process for assessment, planning, evaluation, and exit are provided by suitably qualified staff. InterRAI assessments and individualised care plans are documented and these are based on a comprehensive range of information and accommodate any new problems that might arise. </w:t>
      </w:r>
    </w:p>
    <w:p w:rsidRPr="00A4268A" w:rsidP="00621629">
      <w:pPr>
        <w:spacing w:before="240" w:line="276" w:lineRule="auto"/>
        <w:rPr>
          <w:rFonts w:eastAsia="Calibri"/>
        </w:rPr>
      </w:pPr>
      <w:r w:rsidRPr="00A4268A">
        <w:rPr>
          <w:rFonts w:eastAsia="Calibri"/>
        </w:rPr>
        <w:t>Files sampled demonstrated that the care provided and needs of residents are reviewed and evaluated on a regular and timely basis. Residents and mental health consumers are referred or transferred to other health services as required. All consumers requiring residential disability care are assessed for risk and where required a risk and/or an acute management plan is developed and monitored. These are completed by competent and suitably qualified staff members.</w:t>
      </w:r>
    </w:p>
    <w:p w:rsidRPr="00A4268A" w:rsidP="00621629">
      <w:pPr>
        <w:spacing w:before="240" w:line="276" w:lineRule="auto"/>
        <w:rPr>
          <w:rFonts w:eastAsia="Calibri"/>
        </w:rPr>
      </w:pPr>
      <w:r w:rsidRPr="00A4268A">
        <w:rPr>
          <w:rFonts w:eastAsia="Calibri"/>
        </w:rPr>
        <w:t xml:space="preserve">The planned activity programme provides residents in the secure dementia area with a variety of individual and group activities and maintains their links with the community. A weekly activity schedule is developed for each consumer in the mental health unit with activities that are appropriate to the assessed individual needs and abilities. Activities are strength based and recovery focussed.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and consumers with special needs catered for. Food is safely managed, and snacks and drinks are available on a 24-hourly basis. There is a current food control plan.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is fit for purpose. There is a current building warrant of fitness and approved evacuation plan. Ongoing maintenance and compliance monitoring ensure that the physical environment meets the needs of the residents/consumers and health and safety requirements. Electrical and medical equipment, furniture and fittings are maintained in safe working order. Emergency management plans and equipment are in place. </w:t>
      </w:r>
    </w:p>
    <w:p w:rsidRPr="00A4268A">
      <w:pPr>
        <w:spacing w:before="240" w:line="276" w:lineRule="auto"/>
        <w:rPr>
          <w:rFonts w:eastAsia="Calibri"/>
        </w:rPr>
      </w:pPr>
      <w:r w:rsidRPr="00A4268A">
        <w:rPr>
          <w:rFonts w:eastAsia="Calibri"/>
        </w:rPr>
        <w:t xml:space="preserve">Residents/consumers have private bedrooms. There are sufficient communal areas within the facility, and the garden, for residents/consumers to enjoy. Outdoor areas are maintained to ensure safety and security. </w:t>
      </w:r>
    </w:p>
    <w:p w:rsidRPr="00A4268A">
      <w:pPr>
        <w:spacing w:before="240" w:line="276" w:lineRule="auto"/>
        <w:rPr>
          <w:rFonts w:eastAsia="Calibri"/>
        </w:rPr>
      </w:pPr>
      <w:r w:rsidRPr="00A4268A">
        <w:rPr>
          <w:rFonts w:eastAsia="Calibri"/>
        </w:rPr>
        <w:t xml:space="preserve">There are documented cleaning and laundry procedures. Personal protective equipment is readily available. Appropriate training, information, and equipment for responding to emergencies are provided.  Cleaning and laundry services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detailed documented guidelines on the use of restraints and management of challenging behaviours. There was one resident using restraint on the days of the audit. Staff interviewed demonstrated a good understanding of restraint use and receive ongoing education in restraint, challenging behaviours, and de-escalation techniques through in-service training. The staff have completed appropriate training to provide safe care.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 trained infection control officer, aims to prevent, and manage infections. The programme is reviewed annually. Specialist infection prevention and control advice is accessed through the local district health board when needed. Staff demonstrated good principles and practice around infection control, which is guided by relevant policies and supported with regular education. The organisation implemented and maintained Ministry of Health guidelines during the COVID-19 pandemic as required.</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74"/>
        <w:gridCol w:w="1280"/>
        <w:gridCol w:w="91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interviewed were aware of the Code of Health and Disability Services Consumers' Rights (the Code) and how it is implemented into everyday practice. Staff were able to provide examples of how the Code is applied in the dementia/psychogeriatric areas and with the mental health consumers. Staff receive training regarding the Code both at orientation and again regularly during in service education. Evidence of orientation and education was sighted in all staff records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and procedure meets requirements and includes the use of advance directives. The required consents were sighted in all resident/consumer records sampled. Consents for residents in the dementia and psychogeriatric areas were signed by the appropriate person. For example, next of kin or the enduring power of attorney. Protection of Personal and Property Rights (PPPR’s) were in place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treatment forms were sighted in resident records sampled. These were signed by the residents’ general practitioner, with input from the resident/consumer if able, and significant other. A district health board medical care guidance form is also completed for any resident who does not have an advance directive due to being assessed as incompetent.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to independent advocacy is included in service information. In interview, the facility manager reported that independent advocacy can be accessed if required. There were no concerns voiced by family/whanau and consumers interviewed regarding their right to access independent advocacy services, or the persons of their choice.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names of significant others and family/whanau are gathered during the assessment and care planning process. Level of involvement with family/whanau is discussed. A record of all family/whanau contact is maintained. Ongoing discussions are in place with community mental health services regarding the requirements for contacting mental health consumers family/whanau members subject to their consent. All residents/consumers are able to have the visitors of choice. A visitors’ book is maintained for the secure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Residents/consumers have a wide variety of access to community services. This includes input from allied health providers such as psychiatrists and key workers for the mental health consumers. Family/whanau were observed picking up their family member for community outings and support is provided for residents/consumers to access specialist appointments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process meets the requirements of Right 10 of the Code. Staff, family/whanau and mental health consumers interviewed confirmed their knowledge of the complaints process. Complaint forms are easily accessible at the entrance of the facility. There have been no complaints to external authorities. There were no complaints in 2019 and one thus far in 2020. This complaint was regarding an alleged breach in lock down processes, was fully investigated and found to be unsubstantiated. Records of the complaint and investigation were fully documented, responded to and closed in a timely manner. A summary of the complaint was included in the complaints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residents/consumers and family/whanau receive information regarding their rights. This information is provided on entry to the service in the information booklet. The Code is displayed throughout the facility and is available in English and Te Reo. Family/whanau members and mental health consumers interviewed confirmed that rights are respected and sufficient information was made available. All those interviewed stated that staff and management were approachable and easily accessible should any concerns or clarification be required. Mental health key workers are also available to the mental health consumers and work as the interface between the psychiatrist and the service. Staff were all clear regarding the residents enduring power of attorney (EPOA) and when they are required to contact them. Consumer rights is included in the satisfaction survey process. Records of surveys sampled confirmed satisfaction with services, including respect for their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areas throughout the facility to support privacy. All residents have their own room, clinic rooms are available as are additional areas which can be used for private discussions.  Respect for privacy was observed during the audit. Personal belongings are documented on admission and maintained securely in each of the residents/consumer rooms. Family/consumer interviews and satisfaction surveys sampled confirmed that privacy, dignity and respect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and procedure on abuse and neglect. Training on abuse and neglect is provided to staff annually. The procedure is cross referenced to the complaints and adverse event reporting system. There have been no documented reports of abuse or neglect. A representative from Aged Concern is a regular visitor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Residents/consumers are supported to maintain as much independence as possible. Goals for independence are documented. Supporting and promoting independence was specifically evident, and observed, with the mental health consumers. Individual values, beliefs and cultural needs are identified during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Maori policy and procedure and the Maori Values procedure make reference to the Treaty of Waitangi, Maori models of health, barriers to access and national health strategies. Individual Maori health plans are documented for residents/consumers who identify as Maori. These include the four cornerstones of health and were sighted in relevant resident/consumer records sampled.  In interview, the facility manager reported that the organisation has access to a community Maori support person, who is available to provide support to the residents/consumers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cultural safety policy and procedure. Residents, family/whanau and consumers are consulted regarding their individual values and beliefs. Cultural needs are included in the assessment and care planning process and was documented in files sampled. Consumers and family/whanau members confirmed that cultural values and beliefs were respected. Respects for individual cultural values and beliefs is also included in the annual surveys, which confirmed satisfaction. Sunhaven supports cultural and religious celebrations throughout the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discrimination policy and procedure is cross referenced to the Code and Human Rights Legislation and provides guidelines regarding the identification and investigation/complaints process.  Professional boundaries and misconduct is included in the staff employment agreement. The agreement also includes house rules regarding discrimination and abuse. There was no evidence of discrimination observed during the audit, and no related adverse events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Sunhaven encourages and promotes good practice through evidence-based policies, input from external specialist services and allied health professionals, for example, diabetes nurse specialist, wound care specialist, dietitian, mental health services, and education of staff. Staff attend internal monthly education sessions; good attendance was noted on the reviewed education attendance records.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Other examples of good practice observed during the audit included records of monthly staff meetings where different topics concerning residents and consumers are discussed along with other organisation wide topics. For example health and safety, infection control, incidents, complaints, compliments, restraint and audit results.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communication strategy is documented in the business plan. The director/proprietor and facility manager maintain an open-door policy. This was confirmed in interview with family/whanau and consumers.  Open disclosure was evident in adverse event records sampled. A record of phone contact with relatives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Sunhaven provides all family/whanau members with newsletters and regular updates. The frequency of these updates was increased during the COVID-19 pandemic to continually reassure family/whanau members regarding the residents/consumers wellbeing. Records of emails and interviews with family/whanau confirmed their deep appreciation for the addition communication from the rest home during the lock down period.</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facility manager reported that interpreter services are available in the community if required. There a diverse range of staff who speak a variety of languages and dialects.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director/proprietor is the sole owner and purchased the rest home/hospital in 2009. Previous to 2009, the director has owned two other aged care services and has been in the industry for over 30 years. The purpose, values, mission and goals are documented in the business plan. The business plan is documented annually and includes an executive summary, company description, issues impacting on operations, a marketing strategy, maintenance goals and improvements, financial management and measurable business goals. The business plan has been updated to include mental health services. An organisational chart is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Business objectives include the management of vacancies, staff training, policy and procedure reviews, providing quality care, monitoring of the mental health service, building maintenance and improvements. Achievement towards the business objectives and goals are monitored by the director and facility manager who are both onsite weekdays and available after hours.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been at Sunhaven for 14 years and is responsible for day to day business and general management of the home. The facility manager has completed business management papers and has a background in commerce and health administration. The facility manager has attended the required number of hours training annually. Training over the last year has included topics such as complaints investigation and reporting, employment law and leadership in aged care training provided by the district health board. The facility manager is also a career force assessor and is supported by the acting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There are 40 beds in the whole service. The service has agreements with the DHB for the provision of aged residential care – dementia and psychogeriatric care (both secure units) and residential mental health under a long-term support contract. The residential disability – psychiatric service provides eight non-secure beds. There were seven consumers in the residential disability – psychiatric unit during the audit. There are 20 psychogeriatric beds and 12 dementia beds. These beds were fully occupied on the days of the audit. The rest home also has a contract for respite and day care through the district health board. There was one mental health respite consumer at the service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management team consists of the director/proprietor, the facility manager and the clinical manager. The director is available to perform the management role during a temporary absence of the facility manager. There are also suitably qualified registered nurses available within the staff to step into the clinical manager’s role during an absence.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quality and risk management system. The required policies and procedures are available and accessible. Policies and procedures are reviewed every two years or more frequently as required and have been amended to include the residential disability – psychiatric service. Policies reflect current good practice, legislation and compliance requirements.  There is a system for updating, reviewing, approving, controlling and removing obsolete documents from circulation.</w:t>
            </w:r>
          </w:p>
          <w:p w:rsidR="00EB7645" w:rsidRPr="00BE00C7" w:rsidP="00BE00C7">
            <w:pPr>
              <w:pStyle w:val="OutcomeDescription"/>
              <w:spacing w:before="120" w:after="120"/>
              <w:rPr>
                <w:rFonts w:cs="Arial"/>
                <w:b w:val="0"/>
                <w:lang w:eastAsia="en-NZ"/>
              </w:rPr>
            </w:pPr>
            <w:r w:rsidRPr="00BE00C7">
              <w:rPr>
                <w:rFonts w:cs="Arial"/>
                <w:b w:val="0"/>
                <w:lang w:eastAsia="en-NZ"/>
              </w:rPr>
              <w:t>Quality related data and outcomes are collated, analysed and shared with staff at regular staff and quality meetings.  There is a process to measure achievement against the quality improvement plan. Quality indicators are documented and measured through the audit/satisfaction programme.  Quality meetings occur every three months and are attended by representatives throughout the organisation. Meeting minutes sampled (June 2020 and February 2020) confirmed that quality related data is discussed, including quality improvements and business plans, complaints, compliments, adverse events, quality improvements, staffing, service delivery, restraints, hazards, risks, internal audits and maintenance. The quantity and quality of service improvements has resulted in a continuous improvement rating (refer criteria 1.2.3.6).</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schedule is developed annually. Audits cover the scope of the system and include goals, methods to measure, evidence that is required to evaluate the outcome and level of compliance. The schedule has been fully implemented. Corrective actions are documented and implemented where a variance is identified. Trends are reviewed to improve service delivery. Family/whanau are provided with annual satisfaction surveys which confirmed overall satisfaction with the services provided. A compliments register is also maintained.</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documented.  Risks are analysed, monitored and discussed regularly between the facility manager and director. Issues impacting of business are included in the annual business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policy and procedure meets requirements and includes the identification of trends and quality improvements. The adverse event reporting system has been maintained.  The facility manager is aware of essential notification reporting requirements. There has been no requirement to notify an external authority of any adverse event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the adverse event records confirmed that incidents and accidents are being reported and followed up in an appropriate and timely manner. Records included evidence of immediate responses, investigations and remedial actions being implemented as required.  This includes reporting to family members and informing the general practitioner if required. There was evidence of open disclosure and family notifications on incident forms and resident records. Both family members and the general practitioner interviewed confirmed that incidents are reported in a timely manner.  Incidents and accidents are collated and discussed at quality meetings. Monthly statistics on all documented adverse events are collated, analysed and reported at meetings. Falls are the most commonly documented incident. This includes a process for the management of both witnessed and unwitnessed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 management system is fully maintained and meets legislative requirements. Staff records sampled included an employment agreement, evidence of current qualification and practicing certificate and a position description.  Staff have criminal vetting prior to appointment and professional qualifications are validated.  All staff receive an orientation and participate in ongoing refresher education.  Staff interviewed reported that the orientation programme is comprehensive, supportive and prepares them well for the tasks required. </w:t>
            </w:r>
          </w:p>
          <w:p w:rsidR="00EB7645" w:rsidRPr="00BE00C7" w:rsidP="00BE00C7">
            <w:pPr>
              <w:pStyle w:val="OutcomeDescription"/>
              <w:spacing w:before="120" w:after="120"/>
              <w:rPr>
                <w:rFonts w:cs="Arial"/>
                <w:b w:val="0"/>
                <w:lang w:eastAsia="en-NZ"/>
              </w:rPr>
            </w:pPr>
            <w:r w:rsidRPr="00BE00C7">
              <w:rPr>
                <w:rFonts w:cs="Arial"/>
                <w:b w:val="0"/>
                <w:lang w:eastAsia="en-NZ"/>
              </w:rPr>
              <w:t>A training plan is documented and implemented annually with regular monthly training sessions provided. Performance appraisals are completed for all staff which ensures that any individual training needs are identified. The organisation continues to provide a training programme which exceeds the requirements of this standard and their agreement with the district health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registered nurses who have completed the required interRAI training.  Medications are administered by registered nurses and healthcare assistants who have been assessed as competent. Three of the staff working on the residential disability – psychiatric unit have completed the mental health diploma and are receiving ongoing support/input from the district health board mental health team.  All staff have completed the required dementia training. Kitchen staff, cleaners and the activities coordinators have all received the required relevant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process for determining staffing levels and skill mix is defined in policy and takes into account the layout of the facility and levels of care provided, including the mental health unit.  Staff rosters are developed by the facility manager, with input from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rostered on week days, and shares on call duties with the other RN’s. There is a registered nurse in charge on each shift.  The registered nurses hold current first aid certificates with all registered nurses having completed training through the DHB relevant to their role. All health care assistants and mental health support workers have cardio pulmonary resuscitation (CPR)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sampled confirmed that there are sufficient numbers of staff in each area to meet the needs of the residents, with shift gaps covered in the event of a temporary absence.  Additional staff are available in the event a resident requires one on one support. Staff state that they can call for assistance after hours, with the manager and owner available at all times. There are additional designated staff for cleaning and laundry duties and a ‘lounge’ staff member in the high needs dementia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consumer information policy and procedure include records management and the requirements regarding data entry. Resident/consumer information is accessible in hard copy. Resident/consumer files sampled were comprehensively documented including all the necessary demographic, clinical and health information. All information is maintained in a secure manner. Personal information, other than a name on the residents’ bedroom door, was not publicly accessible. Archived records are held securely on site and are readily retrievable using a cataloguing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into resident/consumer records are made daily. All entries sighted were legible, included the time of entry and the writer’s designation. The residents/consumer name was identifiable on each page.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were integrated. Allied providers completed entries in the residents/consumers individual folder. These included entries made by the activities staff, general practitioner, key workers and visiting psychiatrist.  Adverse event reports were also filed into the resident/consumer folder once they had been investigated, closed and added to the data base.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into the service is managed by the facility manager (FM), acting clinical manger and the registered nurses (RNs). Residents and consumers enter the service when their required level of care has been assessed and confirmed by the local needs’ assessment service (NASC). Information about the service is documented and clearly communicated to the consumers, their family/whanau/EPOA, local communities and referring agencies. Prospective residents/consumers and/or their families are encouraged to visit the facility prior to admission and are provided with written information about the service and the admission process. The organisation seeks updated information from the NASC and general practitioner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The consumers, family members and/ the enduring power of attorney (EPOA) interviewed stated they were satisfied with the admission process and the information that had been made available to them on admission. Files sampled contained completed demographic data, assessments, and signed admission agreements in accordance with contractual requirements. Service charges comply with contractual requirements and are documented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the acting clinical manager are responsible for managing the exit, discharge, or transfer in a planned and co-ordinated manner, with an escort provided as appropriate. The service uses their facility owned transfer form to facilitate transfer of residents to acute care services. There was open communication between all services, the resident/consumer and the family/whānau. At the time of transition between services, appropriate information was provided for the ongoing management of the resident. Referrals were documented in the progress notes sampled. An example of a resident recently transferred to the local acute care facility showed adequate documentation was completed. Family/EPOA of the resident reported being kept well informed during the transfer of their relative. </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resident/consumer change and they are no longer suitable for the services offered, a referral for reassessment to the NASC is made and a new placement found, in consultation with the consumer and whānau/family/EPOA. Examples of this occurring were discussed. There is a clause in the admission agreement related to when a resident’s/consumer’s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days of audit. The electronic system is accessed using individual passwords. The RNs were observed administering medication correctly. They demonstrated good knowledge and had a clear understanding of their roles and responsibilities related to each stage of medicine management. All staff who administer medicines are competent to perform the function they manage and had a current medication administration competency. The electronic prescribing practices included the prescriber’s name and date recorded on the commencement and discontinuation of medicines and all requirements for ‘as required’ (PRN) medicines. The three-monthly medication reviews were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pre-packaged medication packs which are checked by the RNs on delivery. The medication and associated documentation was stored safely, and medication reconciliation is conducted by RNs when resident is transferred back to service. All medications sighted were within current use by dates. Clinical pharmacist input is provided six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were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sampled were within the recommended range. There was no food stored in the medicine fridge. There were no vaccines kept on site.</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There was one resident under the Mental Health Act who has covert medication administration. Appropriate processes and documentation were completed.</w:t>
            </w:r>
          </w:p>
          <w:p w:rsidR="00EB7645" w:rsidRPr="00BE00C7" w:rsidP="00BE00C7">
            <w:pPr>
              <w:pStyle w:val="OutcomeDescription"/>
              <w:spacing w:before="120" w:after="120"/>
              <w:rPr>
                <w:rFonts w:cs="Arial"/>
                <w:b w:val="0"/>
                <w:lang w:eastAsia="en-NZ"/>
              </w:rPr>
            </w:pPr>
            <w:r w:rsidRPr="00BE00C7">
              <w:rPr>
                <w:rFonts w:cs="Arial"/>
                <w:b w:val="0"/>
                <w:lang w:eastAsia="en-NZ"/>
              </w:rPr>
              <w:t>The acting clinical manager reported that a comprehensive analysis of any medication errors is completed as required as guided by the medication management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four-week rotating roster which is reviewed by a registered dietician as required. In addition to the required biannual menu review, a dietician also completes regular reviews with the RN’s to ensure individual nutritional needs are being met (refer continuous improvement rating in standard 1.2.3). In-service staff training on nutrition was last provided in June 2020 by a dietician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residents/consumers nutritional requirements are assessed by the registered nurse on entry. The nutritional assessment is comprehensive and identifies preferences and any special requirements. Resident/consumer weight is monitored and there was evidence that any concerns in weight were identified early and managed appropriately. Additional supplements were provided where required, and there has been success with residents/consumers who needed to lose weight to achieve optimum health benefits.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 times were observed during the audit and confirmed that all residents/consumers received the support they needed. All meals are served with fluids. Additional foods and fluids are accessible throughout the day and night if required. The mental health consumers can independently prepare their own snacks and drinks.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storage and preparation met requirements. Kitchen staff have the required food safety qualifications. Temperature checks of fridges, freezers and cooked meats are maintained. There is a current food control plan. The food control plan verification report and checklist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acting clinical manager reported that if a referral is received but the prospective resident/consumer does not meet the entry criteria or there is no vacancy, the local NASC is advised to ensure the prospective consumer, resident or family are supported to find the appropriate care required. The consumer and where appropriate their family of choice/EPOA are informed of the reason for declining entry to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depression scale, continence, as a means to identify any deficits and to inform care planning. The care plans sampled had an integrated range of resident-related information.  All residents had current interRAI assessments completed and the relevant outcome scores have supported care plan goals and interventions. InterRAI assessments for the consumers in the psychiatric unit are completed by the mental health key workers. Risk assessments were completed for the consumers. Consumers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reflected the support needs of residents and consumers, and the outcomes of the integrated assessment process and other relevant clinical information. The needs identified by the interRAI assessments were reflected in the reviewed care plans. Recovery and relapse prevention plans were completed for the mental health consumers.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Consumers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and consumers was consistent with their needs, goals, and the plan of care. The attention to meeting a diverse range of resident’s individualised needs was evident in all areas of service provision. The interviewed GP verified that medical input was sought in a timely manner that medical orders are followed, and care is implemented promptly. The community key worker interviewed reported satisfaction with the care provided.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activities coordinators who are both undergoing training in diversional therapy. A social assessment and history is undertaken on admission to ascertain residents’ and consumers’ needs, interests, abilities, and social requirements. Activities programmes are regularly reviewed to help formulate an activities programme that is meaningful to the residents. Resident’s activity needs are evaluated as part of the formal six monthly interRAI assessments and care plan review and when there is a significant change in the residents’ ability, this was evidenced in the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Consumers, residents and families/whanau/EPOA were involved in evaluating and improving the programme through satisfaction surveys and consumer meetings. Residents and consumers interviewed confirmed they find the programme satisfactory. Daily activities attendance records were maintained, and the activities are held separately for each level of care. Residents were observed participating in a variety of activities on the days of the audit.</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in the secure dementia unit are specific to the needs and abilities of the people living there. The records sampled evidenced that 24-hour care plans were completed for all residents in the dementia unit. Activities are offered at times when residents are most physically active and/or restless. This includes ladies pamper sessions, short walks, one on one conversations, tiki tour, aroma therapy, happy hour, armchair music, collage work, art and craft, foot and spa therapy, block building, reading, puzzles, group exercises nuts and bolts fixing, skittles and there is a fiddle board. The activity coordinator reported that the activities planner is subject to change if required, to meet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Consumers in the psychiatric unit have additional support for their activities through the local district health board support services. Consumers have free access to their unit using a separate entrance. These consumers can access community events and social activities with support.</w:t>
            </w:r>
          </w:p>
          <w:p w:rsidR="00EB7645" w:rsidRPr="00BE00C7" w:rsidP="00BE00C7">
            <w:pPr>
              <w:pStyle w:val="OutcomeDescription"/>
              <w:spacing w:before="120" w:after="120"/>
              <w:rPr>
                <w:rFonts w:cs="Arial"/>
                <w:b w:val="0"/>
                <w:lang w:eastAsia="en-NZ"/>
              </w:rPr>
            </w:pPr>
            <w:r w:rsidRPr="00BE00C7">
              <w:rPr>
                <w:rFonts w:cs="Arial"/>
                <w:b w:val="0"/>
                <w:lang w:eastAsia="en-NZ"/>
              </w:rPr>
              <w:t>Interviewed consumers and family reported satisfaction with the activities programme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consumers’ care were evaluated on each shift and reported in the progress notes by the care staff. Any changes noted were reported to the RN, this was confirmed in the records sampled. The RNs document in the progress notes at least weekly for the dementia residents and on daily for the psychogeriatric residents and more frequently as determined by the residents’ condition. The mental health support workers in the psychiatry unit document in the progress notes daily and any concerns are reported to the RNs. Three monthly reviews were completed by the psychiatrist. Consumer’s recovery plans were reviewed with the support of the mental health key workers, who complete the required outcome measurement tools.</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following the six-monthly interRAI reassessment, or as residents’ or consumers’ needs change. Where progress is different from expected, the service responds by initiating changes to the plan of care. The short-term care plans were consistently reviewed, and progress evaluated as clinically indicated. The consumers and families/whānau interviewed confirmed their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consumers are supported to access or seek referral to other health and/or disability service providers. If the need for other non-urgent services are indicated or requested, the GP or RN sends a referral to seek specialist input. Copies of referrals were sighted in residents’ files, including referrals to mental health team, psychiatrist, dietitian and wound nurse specialist. The consumer and the family/whānau are kept informed of the referral process, as verified by documentation and interviews. Any acute/urgent referrals were attended to immediately, such as sending the resident to accident and emergency in an ambulance if the circumstances dictate, as verified by the interviewed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for the management of waste and hazardous substances. Domestic rubbish is secure and removed as per council requirements. There is additional outdoor storage for garden equipment and tools. Staff have access to the required personal protective equipment (PPE) and were observed using PPE appropriately. Sharps containers were available in the clinic and are removed and replaced by an external provider. Domestic chemicals and medications are securely stored. Oxygen cylinders are secured. There have been no reported adverse events regarding waste or hazardous substances. The management of waste and hazardous substances is included in staff orientation and discussed at staff meetings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was purpose built and separation between the secure areas and the mental health unit was completed in January 2019. The director is responsible for the maintenance and improvements. Maintenance is addressed in a routine and ongoing manner. Records of maintenance requests are maintained and confirmed that they are addressed. Generalised wear and tear of the building and floor surfaces is monitored and addressed. Internal corridors are wide with safety rails.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is displayed. A contracted company completes the certification of compliance through monthly inspections, maintenance and reporting procedures. Electrical equipment is tagged and medical devices are calibrated.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requirements are being maintained, including hazard identification.  Environmental health and safety is monitored through internal audits of the premises each month. The safety checklist covers the entire facility and corrective actions are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There are easily accessible, and secure, outdoor areas with well-maintained gardens. Residents and consumers were sighted moving around safely both indoors and outdoors. All furniture and fittings are replaced as needed. Interviews with consumers and family/whanau members confirmed the environment is suitable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adequate number of toilets and shower facilities to meet the needs of the residents and consumers. Toilet and showering facilities are shared, with the exception of two bedrooms in the mental health unit which have ensuites. Each bedroom has a hand basin. Hot water is routinely monitored and records confirmed that the temperature remains consistent and within recommendations. Wall linings in the wet areas are monitored for water tightness. There are two staff/visitor toilets.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single occupancy. Rooms have sufficient space to accommodate personal items, equipment and for the resident/consumer to move around safely. Rooms include adequate storage with a built-in wardrobe in each room. Family and consumers interviewed confirmed satisfaction with the bedrooms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numerous communal spaces and dining areas. Communal areas are well furnished and spacious. Quiet smaller communal areas are available. Corridors and walk ways are wide. Residents and consumers were observed enjoying a number of communal and quiet areas. Outdoors areas have raised gardens, sufficient seating and shade cloths.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processes for the management of cleaning and laundry. This includes daily task sheets for all cleaning and laundry duties. There are designated laundry and cleaning staff. The laundry has identified clean and dirty areas and a safe and sheltered area for drying. Laundry and cleaning products are provided by an external contractor and labelled. There are secure areas for all chemicals to be stored. The cleaner’s trolley is stored in a designated cupboard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services are monitored through routine internal audits and satisfaction surveys. Consumers and family/whanau interviewed confirmed satisfaction with the cleaning and laundry service. On observation, the laundry was tidy and all areas throughout the facility appeared clean.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approved fire evacuation plan was sighted. The plan was updated when the mental health unit was built. Trial evacuations are completed every six months as required. Records of fire drills sampled confirmed good staff attendance, including night staff. Fire equipment is displayed and maintained.  Emergency evacuation procedures are displayed throughout the building. There are smoke alarms in each area. The sprinkler system is routinely checked.</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supplies of emergency equipment. This includes water, food, first aid supplies and a civil defence kit. Extra blankets are available and gas is supplied to the kitchen for cooking. The building has emergency lighting. All staff have a first aid training. Emergency procedures are included in staff orientation and revisited during regular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each bedroom, bathrooms and toilets. These are routinely checked during environmental internal audits. There are security lights outside the building and security cameras inside. The dementia area is secure. Staff conduct security checks each evening.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ventilated and heated appropriately.  A combination of heating appliances is installed. All bedrooms have an external window of normal proportions.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Sunhaven has implemented an infection prevention and control (IPC) programme to minimise the risk of infection to residents, staff, and visitors.  The programme is guided by a comprehensive and current infection control manual, with input from the DHB infection control specialist. The infection control programme and manual were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IPC officer, whose role and responsibilities are defined in a job description. Infection control matters, including surveillance results, are reported monthly to the facility manager, and acting clinical manager, and tabled at the quality meeting and two monthly in staff meetings. This committee includes the facility manager, IPC officer, the GP, infection control specialist from the local DHB and representative from the care staff. </w:t>
            </w:r>
          </w:p>
          <w:p w:rsidR="00EB7645" w:rsidRPr="00BE00C7" w:rsidP="00BE00C7">
            <w:pPr>
              <w:pStyle w:val="OutcomeDescription"/>
              <w:spacing w:before="120" w:after="120"/>
              <w:rPr>
                <w:rFonts w:cs="Arial"/>
                <w:b w:val="0"/>
                <w:lang w:eastAsia="en-NZ"/>
              </w:rPr>
            </w:pPr>
            <w:r w:rsidRPr="00BE00C7">
              <w:rPr>
                <w:rFonts w:cs="Arial"/>
                <w:b w:val="0"/>
                <w:lang w:eastAsia="en-NZ"/>
              </w:rPr>
              <w:t>There was signage at the main entrance to the facility requesting anyone who has flu like symptoms or has been unwell with an infectious condition in the past 48 hours, not to enter the facility. The infection control manual provides guidance for staff about how long they must stay away from work if they have been unwell. Staff interviewed understood these responsibilities. The organisation minimised the risk of COVID-19 by ensuring rostered staff remained within the same ‘bubble’.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officer has appropriate skills, knowledge, and qualifications for the role. The IPC officer has completed the infection prevention and control online training as verified in training records sighted. Additional support and information are accessed from the infection control team at the local DHB, the community laboratory, the GP and public health unit, as required. The IPC officer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officer confirmed the availability of resources to support the programme and any outbreak of an infection, adequate resources sighted onsite.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reviewed within the past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There are processes in place to isolate infectious residents when required. Hand washing and sanitiser dispensers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had received education on infection prevention and control at orientation and ongoing education sessions yearly and per rising need for example, additional infection control education was provided during the COVID-19 pandemic lockdown period.  Education is provided by an infection control specialist from the local DHB and the acting clinical manager.  Content of the training is documented and evaluated to ensure it is relevant, current, and understood.  Education attendance records were maintained, and high staff attendance levels were demonstrated.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on a one-to-one basis and has included reminders about handwashing and advice about remaining in their room if they are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thrombophlebitis. The IPC officer reviews all reported infections and these were documented.  New infections and any required management plan are discussed at handover, to ensure early intervention occurs. This was confirmed in the handover observed and in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manager, FM, and IPC committee. </w:t>
            </w:r>
          </w:p>
          <w:p w:rsidR="00EB7645" w:rsidRPr="00BE00C7" w:rsidP="00BE00C7">
            <w:pPr>
              <w:pStyle w:val="OutcomeDescription"/>
              <w:spacing w:before="120" w:after="120"/>
              <w:rPr>
                <w:rFonts w:cs="Arial"/>
                <w:b w:val="0"/>
                <w:lang w:eastAsia="en-NZ"/>
              </w:rPr>
            </w:pPr>
            <w:r w:rsidRPr="00BE00C7">
              <w:rPr>
                <w:rFonts w:cs="Arial"/>
                <w:b w:val="0"/>
                <w:lang w:eastAsia="en-NZ"/>
              </w:rPr>
              <w:t>There was no infection outbreak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Sunhaven actively works to minimise restraint use. Policies and procedures meet the requirements of the restraint minimisation and safe practice standards and provide guidance on the safe use of restraints. There were no enablers in use at the time of the audit. The restraint officer provides support and oversight for restraint management in the facility and demonstrated a sound understanding of the organisation’s policies, procedures and practice and their role and responsibilities. There is a secure unit with access into the dementia unit controlled by access swipe fobs.</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one resident was using restraint and none using enablers. The types of restraints in use were the bedrails and the lap belt for the same resident. These were approved as a last resort as all other alternatives had been trialled. This was confirmed in the restraint approval group meeting minutes, resident’s records sampled and from interviews with staff. The services’ policy supports the use of the least restrictive type of restraint to maintain the resident’s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consists of the FM, acting clinical manager, GP, restraint officer, health and safety representative, activities coordinator, and the director.  The restraint approval group consists of the FM, restraint officer and the GP. This group is responsible for the approval of the use of restraints and the restraint processes. Clear lines of accountability were documented in the restraint officer’s position description and in the restraint minimisation policy and procedure. The restraint in use was approved, and the overall use of restraints was being monitored and analysed. This was evidenced in the documents sampled including the restraint use consent form. Evidence of EPOA involvement in the decision making was on file. Use of a restraint was documented in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this Standard. The RN undertakes the initial assessment with the restraint officer’s involvement, and input from the resident’s family/whānau/EPOA. The RN and restraint officer interviewed described the documented process. Family confirmed their involvement. The GP was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 who was using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is actively minimised, and the restraint officer described how alternatives to restraint are discussed with staff and family members, for example low beds and regular visual checks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sampled confirmed that frequent monitoring was completed to ensure the resident remained safe while using restraint. Records of monitoring had the necessary details. Access to advocacy is provided if requested and all processes to ensure dignity and privacy are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restraint register that was updated every month and reviewed at each restraint approval group meeting occurring three- monthly. The register was reviewed and information about the resident who was currently using a restraint is documented with enough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on the restraint policy and procedure at orientation and in related topics, such as challenging behaviours management and annual restraint use competency checks. Staff interviewed understood that the use of restraint was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resident’s file showed that the use of restraint was reviewed and evaluated during care plan and interRAI reviews. Three monthly restraint evaluations were completed at the restraint approval group meetings. Sampled documents confirmed EPOA’s involvement in the evaluation process. The evaluation covers all requirements of the Standard, including the impact and outcomes achieved,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undertakes a three-monthly review of all restraint use which includes all the requirements of this Standard. Three monthly restraint meetings and reports are completed, and individual use of restraint use was reported in the quality and staff meetings. Minutes of meetings sampled confirmed this included analysis and evaluation of the amount and type of restraint use in the facility, whether all alternatives to restraint have been considered, the effectiveness of the restraint in use, the competency of staff and the appropriateness of restraint education and feedback from the doctor, staff and families. Results from a three-monthly internal audit also informed these meetings. Records sampled, minutes and interviews with the restraint officer confirmed that the use of restraint has been reduced over the past year.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8984"/>
        <w:gridCol w:w="21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implemented a comprehensive process for documenting and implementing a wide range of continuous improvements. A register of quality improvements is maintained. This included 32 quality improvements in the year 2019 and 14 improvements for the year 2020 to date. Any change or improvement is being documented using a quality improvement cycle and is managed by the clinical manager and the facility manager. Examples of additional improvements were sampled and included tool boards placed around the facility for the dementia/psycho-geriatric residents. These have provided the residents with additional activities to reduce episodes of behaviour. Additional specialist training for the mental health support workers resulting in improved opportunities to support recovery. Additional cultural support for a Samoan resident which has resulted in an improvement in their communication abilities. Increased correspondence and communication with family/whanau during the lock down period which helped to reduce family/whanau concerns when they were unable to visit. Additional dietician reviews every three months. This includes an in-service with the residents. The individual eating habits and nutritional needs for each resident is discussed. Records sighted confirmed improvement in weight management for the clients’ which had been discussed. A quality improvement plan is also in place to reduce polypharmacy. This project involves an annual review with the pharmacist with clear targets set for reducing the number of medications residents are prescribed.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implementation of a wide variety of quality improvements is resulting in improved outcomes for residents/consumers.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Sunhaven has continued with the New Zealand Nursing Council approved competency assessment programme which has been operational since November 2016. This programme has been very successful and has now been extended to include two providers. The organisation is available to support nursing students. There were third year nursing students on site during the audit completing their final placements.</w:t>
            </w:r>
          </w:p>
          <w:p w:rsidR="00EB7645" w:rsidRPr="00BE00C7" w:rsidP="00BE00C7">
            <w:pPr>
              <w:pStyle w:val="OutcomeDescription"/>
              <w:spacing w:before="120" w:after="120"/>
              <w:rPr>
                <w:rFonts w:cs="Arial"/>
                <w:b w:val="0"/>
                <w:lang w:eastAsia="en-NZ"/>
              </w:rPr>
            </w:pPr>
            <w:r w:rsidRPr="00BE00C7">
              <w:rPr>
                <w:rFonts w:cs="Arial"/>
                <w:b w:val="0"/>
                <w:lang w:eastAsia="en-NZ"/>
              </w:rPr>
              <w:t>An annual in-service education plan is developed. There are up to 28 in-service training sessions provided over a 12-month period. Training is comprehensive and provided by a range of internal and external provider/educators and specialists. Additional topics have included encouraging best practice in aged care, mental health study days, leadership in aged care and common side effects of medication. Attendance at additional education is high amongst staff. For example, the most recent education on challenging behaviour was attended by 28 of the 40 staff members. Staff are remunerated and given time off to attend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education programmes for families and staff have also continued and are facilitated by the Alzheimer’s society. Staff also participated in a mental health study day in February 2019 and again in January 2020 which was presented by the district health board clinical nurse specialist in mental health. This training was attended by all the level four mental health support workers and two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clinical manager is receiving weekly external mentoring and supervision from a clinical nurse specialist in aged care and all the registered nurses are provided with leadership training. </w:t>
            </w:r>
          </w:p>
          <w:p w:rsidR="00EB7645" w:rsidRPr="00BE00C7" w:rsidP="00BE00C7">
            <w:pPr>
              <w:pStyle w:val="OutcomeDescription"/>
              <w:spacing w:before="120" w:after="120"/>
              <w:rPr>
                <w:rFonts w:cs="Arial"/>
                <w:b w:val="0"/>
                <w:lang w:eastAsia="en-NZ"/>
              </w:rPr>
            </w:pPr>
            <w:r w:rsidRPr="00BE00C7">
              <w:rPr>
                <w:rFonts w:cs="Arial"/>
                <w:b w:val="0"/>
                <w:lang w:eastAsia="en-NZ"/>
              </w:rPr>
              <w:t>Training sessions are evaluated with information used to improve quality of further training sessions. Staff state that the information is useful and they are able to improve practice as a result of the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committed to providing and supporting staff with ongoing education which exceeds the requirements of this standard and their agreement with the district health board. This has helped retain staff and improve practice.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Bima Health Limited - Sunhaven Rest Home &amp; Private Hospital</w:t>
    </w:r>
    <w:bookmarkEnd w:id="58"/>
    <w:r>
      <w:rPr>
        <w:rFonts w:cs="Arial"/>
        <w:sz w:val="16"/>
        <w:szCs w:val="20"/>
      </w:rPr>
      <w:tab/>
      <w:t xml:space="preserve">Date of Audit: </w:t>
    </w:r>
    <w:bookmarkStart w:id="59" w:name="AuditStartDate1"/>
    <w:r>
      <w:rPr>
        <w:rFonts w:cs="Arial"/>
        <w:sz w:val="16"/>
        <w:szCs w:val="20"/>
      </w:rPr>
      <w:t>4 August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