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Rangimarie Aged Care Limited - Kimberley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Rangimarie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Kimberley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2020</w:t>
      </w:r>
      <w:bookmarkEnd w:id="7"/>
      <w:r w:rsidRPr="009418D4">
        <w:rPr>
          <w:rFonts w:cs="Arial"/>
        </w:rPr>
        <w:tab/>
        <w:t xml:space="preserve">End date: </w:t>
      </w:r>
      <w:bookmarkStart w:id="8" w:name="AuditEndDate"/>
      <w:r w:rsidR="00A4268A">
        <w:rPr>
          <w:rFonts w:cs="Arial"/>
        </w:rPr>
        <w:t>14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Kimberley rest home provides rest home level care for up to 25 residents. There were 12 residents on the day of the audit. The owner/manager has been running the service for three months with the assistance from a registered nurse (RN) and an activities coordinator. </w:t>
      </w:r>
    </w:p>
    <w:p w:rsidRPr="00A4268A">
      <w:pPr>
        <w:spacing w:before="240" w:line="276" w:lineRule="auto"/>
        <w:rPr>
          <w:rFonts w:eastAsia="Calibri"/>
        </w:rPr>
      </w:pPr>
      <w:r w:rsidRPr="00A4268A">
        <w:rPr>
          <w:rFonts w:eastAsia="Calibri"/>
        </w:rPr>
        <w:t xml:space="preserve">Changes since the last audit include changes of the service delivery to rest home. The removal of the secure dementia unit and new ownership of the facility.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 previous areas requiring improvement at the last audit have been met except one area relating to timing of care reviewed and interRAI assessments. An area requiring improvement has been identified at this audit relating to RN staffing.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the mission statement of the organisation.  </w:t>
      </w:r>
    </w:p>
    <w:p w:rsidRPr="00A4268A">
      <w:pPr>
        <w:spacing w:before="240" w:line="276" w:lineRule="auto"/>
        <w:rPr>
          <w:rFonts w:eastAsia="Calibri"/>
        </w:rPr>
      </w:pPr>
      <w:r w:rsidRPr="00A4268A">
        <w:rPr>
          <w:rFonts w:eastAsia="Calibri"/>
        </w:rPr>
        <w:t xml:space="preserve">The quality and risk management system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confirm their level of care. The process for assessment, planning, evaluation and exit are provided by suitably qualified staff. InterRAI assessments and individualised care plans are documented and these are based on a comprehensive range of information and accommodate any new problems that might arise.</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conducted six monthly.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There were no residents using restraints nor enablers on the day of the audit. The use of enablers is voluntary for the safety of residents in response to individual requests. In-service staff education on restraints, enablers and the management of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surveillance programme is appropriate to the size and scope of the service. The required data is collected, analysed and communicated.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7"/>
        <w:gridCol w:w="1280"/>
        <w:gridCol w:w="99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complaints/compliments policy and associated forms meet the requirements of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with one anonymous complaint received from the DHB since the previous audit. The register confirmed that actions taken, through to an agreed resolution, are documented and completed within the required timeframes. The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described the process of making a complaint that includes being able to raise these at the regular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were kept well informed about any changes to their and/or their relative’s status and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Residents meetings are facilitated by staff and meeting notes written by staff.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able to speak English; staff interviewed stated the procedure if interpretation for a resident was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owners developed a transitional strategic and business plan prior to their ownership, that has been reviewed since taking ownership. The documents describe annual and long-term actions to meet the organisation’s direction and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have the role of the director and the manager. The manager lives on site and is undertaking the role of maintenance person and kitchen hand if required, to learn the running of the business. On the day of the audit the manager was overseas and was interviewed via telephone.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manager, who holds a Diploma in Media Design and marketing. The director has a Bachelor of Medical Laboratory Science. The manager demonstrated a good understanding of the Aged Related Residential Care agreement, Health and Disciplinary Services requirements and the previous audit findings. </w:t>
            </w:r>
          </w:p>
          <w:p w:rsidR="00EB7645" w:rsidRPr="00BE00C7" w:rsidP="00BE00C7">
            <w:pPr>
              <w:pStyle w:val="OutcomeDescription"/>
              <w:spacing w:before="120" w:after="120"/>
              <w:rPr>
                <w:rFonts w:cs="Arial"/>
                <w:b w:val="0"/>
                <w:lang w:eastAsia="en-NZ"/>
              </w:rPr>
            </w:pPr>
            <w:r w:rsidRPr="00BE00C7">
              <w:rPr>
                <w:rFonts w:cs="Arial"/>
                <w:b w:val="0"/>
                <w:lang w:eastAsia="en-NZ"/>
              </w:rPr>
              <w:t>The manager confirmed knowledge of the sector, regulatory and reporting requirements and maintains currency through support from the local DHB and membership of the New Zealand rest-home association. Professional development for the manager is planned for the next 12 months and includes enrolment in a business administration course.</w:t>
            </w:r>
          </w:p>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a registered nurse who is onsite 32 hours per week and provides clinical on call cover (refer to 1.2.7.3).</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age residential care (ARRC) respite and complex medical conditions. There are 25 rest home beds with 12 residents receiving services under the ARRC agreement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quality and risk management system that reflects the principles of continuous quality improvement. This includes management of incidents; complaints; audit activities; patient satisfaction surveys; monitoring of outcomes; and clinical incidents including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staff meetings. Staff reported their involvement in quality and risk management activities through, audit activities and the opportunity to give feedback to the manager.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six monthly. The most recent survey showed satisfaction with the service, with high praise for the meals. Residents and family expressed an area of concern related to the garden, the manager verified action has been taken and plans are under way to revamp the grounds of Kimberley rest home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based on best practice and are current. The manager verbalised the newly implemented document control system to ensure a systematic and regular review process, referencing of relevant sources, approval, distribution and removal of obsolete documents. Policies reviewed cover all necessary aspects of the service and contractual requirements, including reference to the interRAI assessment tool and process. </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the processes for the identification, monitoring, review and reporting of risks and development of mitigation strategies. The manager is familiar with the Health and Safety at Work Act (2015), the activities co-ordinator is the health and safety officer.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manager.</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the sample of records reviewed and in staff interviews that staff understood and implemented open disclosure practices by acknowledging and notifying events to all relevant parties for example relatives and the general practitioner (GP). Interviews with relatives confirmed the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verbalised the process for essential notification reporting requirements, including but not limited to pressure injuries, unexpected deaths and critical incidents. They advised there have been no notifications of significant events made to the MoH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DHB requested information on falls, no incidents have been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practices and relevant legislation. The recruitment process includes but is not limited to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records reviewed show documentation of completed orientation programme including buddying system with another staff member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who is maintaining their annual competency requirements to undertake interRAI assessments, however there is no support for the RN available.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requiring improvement relating to staff requiring police checks is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for unplanned staff absences.  All staff members on duty have a current first aid certificate. The registered nurse is on call 24/7 and the manager is onsite unless on leave (refer to 1.2.7.3).</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were adequate staff available to complete the work allocated to them.  Residents and family interviewed supported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Medications are stored in a safe and secure way in the trolley and locked cupboards. Medication reconciliation is conducted by the RN for all new admissions, monthly pre-packaged residents’ medication from pharmacy and when the resident is transferred back to service from hospital respectively. All medications are reviewed every three months and as required by the GP. Allergies are clearly indicated, and residents’ photos are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The RN was observed administering medicines following the required medication protocol guidelines and legislative requirements. The controlled drug register is current and correct. Weekly and six-monthly stock takes are conducted. Monitoring of medicine fridge temperatures is conducted regularly and deviations from normal are reported and attended to promptly. The service does not keep any vaccines. All expired medications are returned to the pharmacy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inhalers and was assessed as competent. Self-medication administration policy is in place. Medication administration records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corrective action relating to as required (PRN) medicines held in stock not having expiry dates was corrected.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 is prepared on site and served in the allocated dining rooms. The facility employs two cooks who are assisted by kitchen hands. The menu has been reviewed by a registered dietitian within the last two years. There is a four-weekly rotating summer meal menu in place, and this is followed as required by the local district health board. Diets are modified as required and the cooks confirmed awareness on dietary needs required by the residents. Meals are served warm in sizeable portions required by residents and any alternatives are offered as required. The residents’ weights are monitored monthly and supplements are provided to residents with identified weight loss issues. The residents and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is registered under the food control plan and the registration expires on 30 June 2020. The kitchen and pantry were sighted and observed to be clean, tidy and stocked. Labels and dates were on all containers.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evidenced that interventions are adequate to address the identified needs in the care plans (refer to 1.3.3.3). Significant changes are reported in a timely manner and prescribed orders carried out. The RN reported that the GPs’ medical input is sought in a timely manner, medical orders are followed, and care is person centred. The DHB requests for information about residents’ needs are met. Wound specialist nurse is involved in the management of chronic wounds when required.</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is provided as outlined in the care plan.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appropriate to the residents’ needs and abilities. The activities are based on assessment and reflect the residents’ social, cultural, spiritual, physical, cognitive needs/abilities, past hobbies, interests and enjoyments. Residents’ activity profile is completed on admission in consultation with the family and residents where able. The activities coordinator reported that routine six monthly activity care plan reviews are completed, however these were not occurring at the same time with interRAI assessments (refer to 1.3.3.3).</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in individual or group settings. Activities are varied and appropriate for residents. The residents were observed to be participating in a variety of activities during the audit. The planned activities and community connections are suitable for the residents. There are regular outings/drives, for all residents (as appropriate). Residents and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in the progress notes on each shift by care staff. The registered nurse complete progress notes weekly and as necessary. All noted changes by the care staff are reported to the RN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has not been occurring in a timely manner (Refer 1.3.3.3). Evaluations are carried out by the RN in conjunction with family, GP and specialist service providers.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physical alterations to the building since the last audit. The doors leading to the previous dementia unit now remain open with rest home level residents occupying the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11th September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Residents and staff confirmed they know the processes they should follow if any repairs or maintenance is required. Residents and family interviewed confirmed that they are happy with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recorded regularly and were at or below the recommended temperatures.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physical alterations to the building since the last audit. The doors leading to the previous dementia unit now remain open with rest home level residents occupying the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A trial evacuation takes place six-monthly with a copy sent to the New Zealand Fire Service, the most recent being on July 2019.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12 residents. Water storage tanks are located around the complex. Emergency lighting is regularly tested. Cooking is via gas.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there was no specific emergency and evacuation plan for residents in the dementia unit, the dementia unit is now closed, this is now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by the RN to identify any significant trends or common possible causative factors and action plans are implemented. Staff interviewed reported that they are informed of infection rates at handovers, team meetings and through compiled reports.</w:t>
            </w:r>
          </w:p>
          <w:p w:rsidR="00EB7645" w:rsidRPr="00BE00C7" w:rsidP="00BE00C7">
            <w:pPr>
              <w:pStyle w:val="OutcomeDescription"/>
              <w:spacing w:before="120" w:after="120"/>
              <w:rPr>
                <w:rFonts w:cs="Arial"/>
                <w:b w:val="0"/>
                <w:lang w:eastAsia="en-NZ"/>
              </w:rPr>
            </w:pPr>
            <w:r w:rsidRPr="00BE00C7">
              <w:rPr>
                <w:rFonts w:cs="Arial"/>
                <w:b w:val="0"/>
                <w:lang w:eastAsia="en-NZ"/>
              </w:rPr>
              <w:t>There was no infection outbreak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Kimberley Rest Home supports to minimise the use of restraint. The policy has congruent definitions for restraint and enablers. The service currently has no residents using restraint or enablers. Staff receive ongoing education on the use of restraint and challenging behaviours. The assessment, approval, monitoring and review process is the same for both restraints and enablers. A restraint register is in place if needed.  In staff interviews, staff demonstrated awareness on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8"/>
        <w:gridCol w:w="1280"/>
        <w:gridCol w:w="6663"/>
        <w:gridCol w:w="1888"/>
        <w:gridCol w:w="15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employed two RNs. One casual RN who has been replacing the permanent RN for annual leave has resigned and has not been replaced to date. The manager verbalised the plan for the replacement, which includes advertising locally. On the day of the audit there was one permanent RN employed at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RN is employed for 32 hours per week and is on call for clinical emergency if required, however there is no back up RN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 plan that details a backup for the employed 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the service when required level of care assessments are completed and confirmed by the Needs Assessment Service Coordination (NASC) team. Admission nursing assessment forms, initial care plans and short-term nursing care plans are completed in a timely manner. Residents’ care plans are completed within three weeks of admission along with interRAI assessments, however subsequent reviews were not occurring at the same time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nursing care plans (including activities care plans) were evaluated or reviewed along with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are evaluated and reviewed at the same time with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Rangimarie Aged Care Limited - Kimberley Rest Home</w:t>
    </w:r>
    <w:bookmarkEnd w:id="58"/>
    <w:r>
      <w:rPr>
        <w:rFonts w:cs="Arial"/>
        <w:sz w:val="16"/>
        <w:szCs w:val="20"/>
      </w:rPr>
      <w:tab/>
      <w:t xml:space="preserve">Date of Audit: </w:t>
    </w:r>
    <w:bookmarkStart w:id="59" w:name="AuditStartDate1"/>
    <w:r>
      <w:rPr>
        <w:rFonts w:cs="Arial"/>
        <w:sz w:val="16"/>
        <w:szCs w:val="20"/>
      </w:rPr>
      <w:t>14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