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Auckland Healthcare Group Limited - Palms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Auckland Healthcare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Palms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March 2020</w:t>
      </w:r>
      <w:bookmarkEnd w:id="7"/>
      <w:r w:rsidRPr="009418D4">
        <w:rPr>
          <w:rFonts w:cs="Arial"/>
        </w:rPr>
        <w:tab/>
        <w:t xml:space="preserve">End date: </w:t>
      </w:r>
      <w:bookmarkStart w:id="8" w:name="AuditEndDate"/>
      <w:r w:rsidR="00A4268A">
        <w:rPr>
          <w:rFonts w:cs="Arial"/>
        </w:rPr>
        <w:t>10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Palms Home and Hospital provides rest home and hospital levels of care for up to 44 residents.  On the day of the audit, there were 36 residents.  The service is one of three aged care facilities owned by two directors.  An operations manager/registered nurse oversees the daily operations and is supported by a full-time clinical manager/registered nurse.  </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service has an established quality and risk management system.  Residents and families interviewed commented positively on the standard of care and services provided.  </w:t>
      </w:r>
    </w:p>
    <w:p w:rsidRPr="00A4268A">
      <w:pPr>
        <w:spacing w:before="240" w:line="276" w:lineRule="auto"/>
        <w:rPr>
          <w:rFonts w:eastAsia="Calibri"/>
        </w:rPr>
      </w:pPr>
      <w:r w:rsidRPr="00A4268A">
        <w:rPr>
          <w:rFonts w:eastAsia="Calibri"/>
        </w:rPr>
        <w:t>Two of the two shortfalls identified as part of the previous audit have been addressed.  These were around: care plan documentation and verbal orders for medication.</w:t>
      </w:r>
    </w:p>
    <w:p w:rsidRPr="00A4268A">
      <w:pPr>
        <w:spacing w:before="240" w:line="276" w:lineRule="auto"/>
        <w:rPr>
          <w:rFonts w:eastAsia="Calibri"/>
        </w:rPr>
      </w:pPr>
      <w:r w:rsidRPr="00A4268A">
        <w:rPr>
          <w:rFonts w:eastAsia="Calibri"/>
        </w:rPr>
        <w:t>This audit has identified two areas requiring improvement around; implementation of care and signing for medications.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Palms Home &amp; Hospital has a fully implemented, robust, quality and risk system in place.  Quality data is collated for accident/incidents, infection control, internal audits, concerns and complaints and surveys.  Incidents are appropriately managed.  The service has policies and procedures that are reviewed by an external consultant. </w:t>
      </w:r>
    </w:p>
    <w:p w:rsidRPr="00A4268A">
      <w:pPr>
        <w:spacing w:before="240" w:line="276" w:lineRule="auto"/>
        <w:rPr>
          <w:rFonts w:eastAsia="Calibri"/>
        </w:rPr>
      </w:pPr>
      <w:r w:rsidRPr="00A4268A">
        <w:rPr>
          <w:rFonts w:eastAsia="Calibri"/>
        </w:rPr>
        <w:t xml:space="preserve">The service has human resources procedures for staff recruitment and employment.  There is an implemented orientation programme and an implemented annual training schedule in place.  Human resources are managed in accordance with good employment practice. </w:t>
      </w:r>
    </w:p>
    <w:p w:rsidRPr="00A4268A">
      <w:pPr>
        <w:spacing w:before="240" w:line="276" w:lineRule="auto"/>
        <w:rPr>
          <w:rFonts w:eastAsia="Calibri"/>
        </w:rPr>
      </w:pPr>
      <w:r w:rsidRPr="00A4268A">
        <w:rPr>
          <w:rFonts w:eastAsia="Calibri"/>
        </w:rPr>
        <w:t xml:space="preserve">Caregivers, residents and family members reported staffing levels are sufficient to meet residents’ needs.  There is a minimum of one registered nurse on-site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A registered nurse assesses and regularly reviews residents' health status.</w:t>
      </w:r>
    </w:p>
    <w:p w:rsidRPr="00A4268A" w:rsidP="00621629">
      <w:pPr>
        <w:spacing w:before="240" w:line="276" w:lineRule="auto"/>
        <w:rPr>
          <w:rFonts w:eastAsia="Calibri"/>
        </w:rPr>
      </w:pPr>
      <w:r w:rsidRPr="00A4268A">
        <w:rPr>
          <w:rFonts w:eastAsia="Calibri"/>
        </w:rPr>
        <w:t xml:space="preserve">Care plans are developed in consultation with the resident and/or family input.  Care plans demonstrate allied health input into the care of the resident.  Overall changes to health status and interventions required were updated on the care plans to reflect the residents’ current health status.  Care plans are reviewed six-monthly.  The contracted medical practitioner completes three-monthly resident reviews or earlier due to health changes. </w:t>
      </w:r>
    </w:p>
    <w:p w:rsidRPr="00A4268A" w:rsidP="00621629">
      <w:pPr>
        <w:spacing w:before="240" w:line="276" w:lineRule="auto"/>
        <w:rPr>
          <w:rFonts w:eastAsia="Calibri"/>
        </w:rPr>
      </w:pPr>
      <w:r w:rsidRPr="00A4268A">
        <w:rPr>
          <w:rFonts w:eastAsia="Calibri"/>
        </w:rPr>
        <w:t xml:space="preserve">Medication policies reflect legislative medicine management and guidelines.  All staff responsible for administration of medicines complete education and medicine competencies.   </w:t>
      </w:r>
    </w:p>
    <w:p w:rsidRPr="00A4268A" w:rsidP="00621629">
      <w:pPr>
        <w:spacing w:before="240" w:line="276" w:lineRule="auto"/>
        <w:rPr>
          <w:rFonts w:eastAsia="Calibri"/>
        </w:rPr>
      </w:pPr>
      <w:r w:rsidRPr="00A4268A">
        <w:rPr>
          <w:rFonts w:eastAsia="Calibri"/>
        </w:rPr>
        <w:t xml:space="preserve">An activities programme is in place.  The programme includes outings, entertainment, activities and cultural days that meet the recreational preferences of the rest home and hospital level residents at the service.  Residents expressed satisfaction with the activities provided. </w:t>
      </w:r>
    </w:p>
    <w:p w:rsidRPr="00A4268A" w:rsidP="00621629">
      <w:pPr>
        <w:spacing w:before="240" w:line="276" w:lineRule="auto"/>
        <w:rPr>
          <w:rFonts w:eastAsia="Calibri"/>
        </w:rPr>
      </w:pPr>
      <w:r w:rsidRPr="00A4268A">
        <w:rPr>
          <w:rFonts w:eastAsia="Calibri"/>
        </w:rPr>
        <w:t xml:space="preserve">All food is prepared on site.  Residents’ nutritional needs were identified and documented.  Ethnic food preferences are accommodated.  Alternative choices are available for dislikes.  Meals were well presented.  Residents commented positively on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Hot water temperatures are monitored and recorded.  Residents’ rooms are of sufficient space to allow services to be provided and for the safe use and manoeuvring of equipment and mobility aids.  There are sufficient communal areas within the facility including lounge and dining areas.  External and deck areas are accessible with suitable pathways,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definitions of restraints and enablers are congruent with the definition in the restraint minimisation standard.  The service had five residents assessed as requiring bedrails as a restraint.  No residents were using an enabler.  Staff receive education and training in restraint minimisation and managing challenging behaviours that begins during their orientation.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a registered nurse.  The infection control coordinator has completed external training.  Staff attend annual infection control education.  There is a suite of infection control policies and guidelines that meet infection control standards.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15"/>
        <w:gridCol w:w="1280"/>
        <w:gridCol w:w="100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operations manager using a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complaints made in 2019 and none year to date for 2020.  Both complaints for 2019 were through the Health &amp; Disability Commission.  Both complaints remain open and in progress with the Health &amp; Disability Commission.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(three rest home and three hospital) and family members advised that they are aware of the complaint’s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operations manager and clinical manager confirmed family are kept informed.  Two hospital relatives interviewed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Palms Rest Home and Hospital provides care for up to 44 residents.  Twenty-one of the beds are dual purpose beds (hospital and rest home).  On the day of audit, there were 36 residents.  This included 12 rest home level residents and 24 hospital level residents living at the facility.  Four residents (one rest home and three hospital) were funded through the Long-Term Chronic Support contract and two hospital residents were on respite.  All other residents are under the Age-Related Residential Care (ARRC).  </w:t>
            </w:r>
          </w:p>
          <w:p w:rsidR="00EB7645" w:rsidRPr="00BE00C7" w:rsidP="00BE00C7">
            <w:pPr>
              <w:pStyle w:val="OutcomeDescription"/>
              <w:spacing w:before="120" w:after="120"/>
              <w:rPr>
                <w:rFonts w:cs="Arial"/>
                <w:b w:val="0"/>
                <w:lang w:eastAsia="en-NZ"/>
              </w:rPr>
            </w:pPr>
            <w:r w:rsidRPr="00BE00C7">
              <w:rPr>
                <w:rFonts w:cs="Arial"/>
                <w:b w:val="0"/>
                <w:lang w:eastAsia="en-NZ"/>
              </w:rPr>
              <w:t>There is a two-year business plan and five-year strategic plan in place.  There are regular reviews and follow-up of the business plan documented.  The service has quality goals and a documented quality plan purchased from an external consultant.  Palms Rest Home and Hospital is one of the three aged care facilities owned by two directors.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is a registered nurse who has been in the role since 2017.  She is supported by an experienced clinical manager (registered nurse), with a background in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has maintained at least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Palms Home and Hospital has a well-established and comprehensive quality and risk programme purchased from an external consultant.  There are policies and procedures implemented to provide assurance that the service is meeting accepted good practice and adhering to relevant standards - including those standards relating to the Health and Disability Services (Safety) Act 2001.  Staff (four caregivers, one registered nurse, the clinical manager, one cook, one activities person and the maintenance person)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The operations manager described supportive directors who visit or phone most days.</w:t>
            </w:r>
          </w:p>
          <w:p w:rsidR="00EB7645" w:rsidRPr="00BE00C7" w:rsidP="00BE00C7">
            <w:pPr>
              <w:pStyle w:val="OutcomeDescription"/>
              <w:spacing w:before="120" w:after="120"/>
              <w:rPr>
                <w:rFonts w:cs="Arial"/>
                <w:b w:val="0"/>
                <w:lang w:eastAsia="en-NZ"/>
              </w:rPr>
            </w:pPr>
            <w:r w:rsidRPr="00BE00C7">
              <w:rPr>
                <w:rFonts w:cs="Arial"/>
                <w:b w:val="0"/>
                <w:lang w:eastAsia="en-NZ"/>
              </w:rPr>
              <w:t>Monthly quality meeting/staff minutes sighted evidenced staff discussion around accident/incident data, health and safety, infection control, audit outcomes, concerns and survey feedback.  The service collates accident/incident and infection control data.  Monthly comparisons include trend analysis and graphs.  The staff interviewed were aware of quality data results, trends and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internal audit programme that covers all aspects of the service and aligns with the requirements of the Health and Disability Services (Safety) Act 2001.  A summary of internal audit outcomes is provided to the quality meetings for discussion.  Corrective actions are developed,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operations manager is responsible for health and safety.  There is a current hazard register which was last reviewed April 2019.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The service has lifting belts, hip protectors and sensor mats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and enters them into a register.  A monthly ‘moving on audits’ action plan is developed and discussed at the monthly staff meetings/quality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Ten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caregivers interviewed could discuss the incident reporting process.  The operations manager collects incident forms, investigates and reviews and implements corrective actions as required.  The service has an action plan in place to minimise falls and falls document a continued downward trend along with a reduction in skin tears.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interviewed could describe situations that would require reporting to relevant authorities.  The service has reported one pressure injury to the Ministry of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Five staff files were reviewed (two RNs, and three caregivers).  All files contained relevant employment documentation including current performance appraisals and completed orientations.  Current practising certificates were sighted for the registered nurses.  All required staff have been employed and appropriate employment practices followed.  The service has an orientation programme in place that provides new staff with relevant information for safe work practice in the provision of rest home and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annual education planner in place that covers compulsory education requirements.  The planner and individual attendance records are updated after each session.  The programme has been updated to include caring for residents with a higher level of care including (but not limited to) manual handling and turning residents, pressure injury prevention, end of life, continence and care of catheters.  Three of the eight RNs have completed interRAI training.  Clinical staff complete competencies relevant to their role.  The RNs and clinical manager have completed syringe driver training and have access to external training.  The manager is also a link nurse for the palliative care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meeting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and clinical manager (both registered nurses) are on site Monday to Friday and on call after hours.   </w:t>
            </w:r>
          </w:p>
          <w:p w:rsidR="00EB7645" w:rsidRPr="00BE00C7" w:rsidP="00BE00C7">
            <w:pPr>
              <w:pStyle w:val="OutcomeDescription"/>
              <w:spacing w:before="120" w:after="120"/>
              <w:rPr>
                <w:rFonts w:cs="Arial"/>
                <w:b w:val="0"/>
                <w:lang w:eastAsia="en-NZ"/>
              </w:rPr>
            </w:pPr>
            <w:r w:rsidRPr="00BE00C7">
              <w:rPr>
                <w:rFonts w:cs="Arial"/>
                <w:b w:val="0"/>
                <w:lang w:eastAsia="en-NZ"/>
              </w:rPr>
              <w:t>One staff RN is rostered on for each of the AM, PM and night shifts.  The operations manager and clinical manager share the on-call roster.</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wings.  Each wing (Nikau [occupancy: four rest home, nine hospital], Phoenix [occupancy: seven rest home, nine hospital], and Silkfan [occupancy: one rest home, six hospital]) is staffed with two caregivers on the AM shift; one full shift and one short shift that can be extended depending on acuity.</w:t>
            </w:r>
          </w:p>
          <w:p w:rsidR="00EB7645" w:rsidRPr="00BE00C7" w:rsidP="00BE00C7">
            <w:pPr>
              <w:pStyle w:val="OutcomeDescription"/>
              <w:spacing w:before="120" w:after="120"/>
              <w:rPr>
                <w:rFonts w:cs="Arial"/>
                <w:b w:val="0"/>
                <w:lang w:eastAsia="en-NZ"/>
              </w:rPr>
            </w:pPr>
            <w:r w:rsidRPr="00BE00C7">
              <w:rPr>
                <w:rFonts w:cs="Arial"/>
                <w:b w:val="0"/>
                <w:lang w:eastAsia="en-NZ"/>
              </w:rPr>
              <w:t>The PM shift is staffed with two caregivers from 3 pm – 11 pm and one caregiver from 3 pm – 9 pm and one from 4.30pm to 6.30pm.</w:t>
            </w:r>
          </w:p>
          <w:p w:rsidR="00EB7645" w:rsidRPr="00BE00C7" w:rsidP="00BE00C7">
            <w:pPr>
              <w:pStyle w:val="OutcomeDescription"/>
              <w:spacing w:before="120" w:after="120"/>
              <w:rPr>
                <w:rFonts w:cs="Arial"/>
                <w:b w:val="0"/>
                <w:lang w:eastAsia="en-NZ"/>
              </w:rPr>
            </w:pPr>
            <w:r w:rsidRPr="00BE00C7">
              <w:rPr>
                <w:rFonts w:cs="Arial"/>
                <w:b w:val="0"/>
                <w:lang w:eastAsia="en-NZ"/>
              </w:rPr>
              <w:t>The night staff is covered by two caregivers (in addition to one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cleaning/laundry staff providing cover seven days a week.  An activities coordinator is rostered Monday – Sunday.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staffing levels and the skill mix were appropriate and safe.  Residents and family interviewed advised that they felt there is sufficient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have individual medication orders with photo identification and allergy status documented.  The service uses a roll pack system for tablets and other medicines are pharmacy packaged.  All medicines are stored securely when not in use.  A verification check is completed by the RN against the resident’s medicine order when new medicines are supplied from the pharmacy.  There were no verbal orders documented since the introduction of an electronic medication system.  Staff were able to explain the process for verbal orders.  This is an improvement from the previous audit.  Short-life medications (i.e., eye drops and ointments)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All long-term residents have their medication recording on an electronic system, respite residents use a paper-based medication system.  Administration sheets sampled were not all appropriately signed for the respite resident.  Seven electronic medication charts (long term residents) reviewed identified that the GP had seen the resident three-monthly and the medication chart was signed each time a medicine was administered by staff.  A registered nurse was observed administering medications and followed correct procedures.  There were no residents who self-administer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Palms Rest Home and Hospital are prepared and cooked on site.  </w:t>
            </w:r>
          </w:p>
          <w:p w:rsidR="00EB7645" w:rsidRPr="00BE00C7" w:rsidP="00BE00C7">
            <w:pPr>
              <w:pStyle w:val="OutcomeDescription"/>
              <w:spacing w:before="120" w:after="120"/>
              <w:rPr>
                <w:rFonts w:cs="Arial"/>
                <w:b w:val="0"/>
                <w:lang w:eastAsia="en-NZ"/>
              </w:rPr>
            </w:pPr>
            <w:r w:rsidRPr="00BE00C7">
              <w:rPr>
                <w:rFonts w:cs="Arial"/>
                <w:b w:val="0"/>
                <w:lang w:eastAsia="en-NZ"/>
              </w:rPr>
              <w:t>The menu has been approved by a dietitian.  A food services manual is available to ensure that all stages of food delivery to residents comply with standards, legislation and guidelines.  All fridges and freezer temperatures are recorded daily on the recording sheet sighted.  Food temperatures are recorded daily.  The food control plan has been approved until June 2020.  All food is served directly from the kitchen to residents in the dining room or to their rooms as required.  A tray service is available if required by residents.  All residents have a nutritional profile developed on admission, which identifies their dietary requirements, likes and dislikes.  This profile is reviewed six monthly as part of their care plan review.  Changes to residents’ dietary needs are communicated to the kitchen staff.  Residents’ weights are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needs are known with individual likes and dislikes accommodated.  The service has a number of residents of other ethnicities.  This has been recognised in the menu plan, which includes a daily vegetarian menu and a daily Pacific Island menu.  Residents may also choose from the usual menu.  The vegetarian menu meets cultural needs around no meats (for example no pork or chicken).  Pureed, gluten free and diabetic desserts are also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included an initial assessment and (initial) short-term care plan.  Long-term care plans were in place for the long-term resident files reviewed and an interim care plan for the respite resident.  Short-term care plans were available for use to document any changes in health needs.  Short-term care plans were evidenced for skin tears, short course antibiotics, bruising and weight loss.  The four long term resident files reviewed were all up to date and documented evidence of updating with changes to resident care needs, this is an improvement from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long-term care plans and the respite care plan reviewed included interventions that reflected the resident’s current needs.  When a residents’ condition changes the RN initiates a GP visit or specialist referral.  Residents interviewed reported their needs were being met.  Family members interviewed stated the care and support met their expectations for their relative.  There was documented evidence of relative contact for any changes to resident health status.  Registered nurses were regularly involved in resident daily care and ongoing assessments as identified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four wounds documented including one grade two pressure injury.  Wound documentation was reviewed for all four wounds.  Wound assessment and management plans were documented, but a complete evaluation of the wound was not always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reported that a range of equipment was readily available as needed, including hoists and manual handling equipment.  Caregivers reported that equipment was made available as needed.  On the day of audit two residents were noted to be nursed on pressure relieving matrasses that had deflated.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well utilised and examples sighted included (but not limited to), weight and vital signs, blood glucose, pain, food and fluid, turning charts and behaviour monitoring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and an activities staff member provide organised activities for seven hours per day, seven days per week. </w:t>
            </w:r>
          </w:p>
          <w:p w:rsidR="00EB7645" w:rsidRPr="00BE00C7" w:rsidP="00BE00C7">
            <w:pPr>
              <w:pStyle w:val="OutcomeDescription"/>
              <w:spacing w:before="120" w:after="120"/>
              <w:rPr>
                <w:rFonts w:cs="Arial"/>
                <w:b w:val="0"/>
                <w:lang w:eastAsia="en-NZ"/>
              </w:rPr>
            </w:pPr>
            <w:r w:rsidRPr="00BE00C7">
              <w:rPr>
                <w:rFonts w:cs="Arial"/>
                <w:b w:val="0"/>
                <w:lang w:eastAsia="en-NZ"/>
              </w:rPr>
              <w:t>Group activities are provided in the large communal dining room, in seating areas and outdoors in the gardens when weather permits.  Group activities are varied to meet the needs of both higher functioning residents and those that require more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with a variety of activities.  The group activities programme is developed monthly, and a copy of the programme is available in the lounge, on noticeboards and in each resident room.  The group programme includes residents being involved within the community with social clubs, churches and schools.  </w:t>
            </w:r>
          </w:p>
          <w:p w:rsidR="00EB7645" w:rsidRPr="00BE00C7" w:rsidP="00BE00C7">
            <w:pPr>
              <w:pStyle w:val="OutcomeDescription"/>
              <w:spacing w:before="120" w:after="120"/>
              <w:rPr>
                <w:rFonts w:cs="Arial"/>
                <w:b w:val="0"/>
                <w:lang w:eastAsia="en-NZ"/>
              </w:rPr>
            </w:pPr>
            <w:r w:rsidRPr="00BE00C7">
              <w:rPr>
                <w:rFonts w:cs="Arial"/>
                <w:b w:val="0"/>
                <w:lang w:eastAsia="en-NZ"/>
              </w:rPr>
              <w:t>The activity person or operations manager interviews each newly admitted resident on or soon after admission and takes a social history.  This information is then used to develop a diversional therapy plan, which is then reviewed six-monthly as part of the interRAI and care plan review/evaluation process.  Residents and relatives interviewed were overall happy with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residents’ files reviewed, all initial care plans have been documented and evaluated by the RN within three weeks of admission.  Long-term care plans have been reviewed at least six-monthly or earlier for any health changes and document progress towards goals.  The GP reviews the residents at least three-monthly or earlier if required.  Evidence of three-monthly GP reviews are documented in all residents’ files sampled.  Short-term care plans sighted were evaluated and resolved or added to the long-term care plan if the problem was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September 2020.  There is a maintenance person employed to address the reactive and planned maintenance programme.  Hot water temperatures are monitored and managed within 43-45 degrees Celsius.  The facility has sufficient space for residents to mobilise using mobility aids.  External areas are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enough to promote safe mobility.  Residents were observed moving freely around the areas with mobility aids where required.  There are external areas and gardens, which are easily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that they have all the equipment referred to in care plans, to provide safe and timely care such as hoists, wheel-on scale, electric beds, ultra-low beds, hospital recliners, wheelchairs, mobility aids, transfer belts, pressure relieving mattresses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  Systems are in place that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and safe practice policies and procedures are in place.  Restraint practices are only used where it is clinically indicated and justified and other de-escalation strategies have been ineffective.  The restraint register has documented five residents using a restraint (bedrails only) and no residents using an enabler.  Two resident files reviewed for residents with a restraint confirmed that an assessment, consent, six monthly review and care plan interventions were all documented.  Restraint training is included in the induction programme and in-service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 of restraint and enablers and comprehensive restraint procedures.  Interviews with the caregiver and nursing staff confirmed their understanding of restraints and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31"/>
        <w:gridCol w:w="1280"/>
        <w:gridCol w:w="3988"/>
        <w:gridCol w:w="3403"/>
        <w:gridCol w:w="14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respite residents’ paper-based medication charts reviewed all documented that the GP has prescribed and signed for medications.  Not all medications had been signed for on administration.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paper-based medication signing sheet did not record all regular medication had been administered as per chart.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medication signing sheet is signed when medications are administered.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procedures, documentation templates, equipment and appropriate staff to ensure that residents are provided with a high standard of care.  Wound care evaluation templates were not fully completed and two air mattresses were not functioning during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Wound care evaluations did not include the size of the wound for one hospital level resident with a pressure injury, one hospital level resident with a chronic ulcer and one rest home resident with a skin tear.</w:t>
            </w:r>
          </w:p>
          <w:p w:rsidR="00EB7645" w:rsidRPr="00BE00C7" w:rsidP="00BE00C7">
            <w:pPr>
              <w:pStyle w:val="OutcomeDescription"/>
              <w:spacing w:before="120" w:after="120"/>
              <w:rPr>
                <w:rFonts w:cs="Arial"/>
                <w:b w:val="0"/>
                <w:lang w:eastAsia="en-NZ"/>
              </w:rPr>
            </w:pPr>
            <w:r w:rsidRPr="00BE00C7">
              <w:rPr>
                <w:rFonts w:cs="Arial"/>
                <w:b w:val="0"/>
                <w:lang w:eastAsia="en-NZ"/>
              </w:rPr>
              <w:t>(ii).  On day one of the audit one resident was found to be nursed on a deflated air mattress and on day two, another resident was found to be nursed on a deflated mattress.  The mattresses were replaced immediately on both occasions.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wound evaluations include documenting the size of the wound.</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air mattresses are monitored and remain inflated.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Auckland Healthcare Group Limited - Palms Home &amp; Hospital</w:t>
    </w:r>
    <w:bookmarkEnd w:id="58"/>
    <w:r>
      <w:rPr>
        <w:rFonts w:cs="Arial"/>
        <w:sz w:val="16"/>
        <w:szCs w:val="20"/>
      </w:rPr>
      <w:tab/>
      <w:t xml:space="preserve">Date of Audit: </w:t>
    </w:r>
    <w:bookmarkStart w:id="59" w:name="AuditStartDate1"/>
    <w:r>
      <w:rPr>
        <w:rFonts w:cs="Arial"/>
        <w:sz w:val="16"/>
        <w:szCs w:val="20"/>
      </w:rPr>
      <w:t>9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