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Ernest Rutherford Retirement Village Limited - Ernest Rutherford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Ernest Rutherford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Ernest Rutherford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2020</w:t>
      </w:r>
      <w:bookmarkEnd w:id="7"/>
      <w:r w:rsidRPr="009418D4">
        <w:rPr>
          <w:rFonts w:cs="Arial"/>
        </w:rPr>
        <w:tab/>
        <w:t xml:space="preserve">End date: </w:t>
      </w:r>
      <w:bookmarkStart w:id="8" w:name="AuditEndDate"/>
      <w:r w:rsidR="00A4268A">
        <w:rPr>
          <w:rFonts w:cs="Arial"/>
        </w:rPr>
        <w:t>17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Ernest Rutherford provides rest home, hospital and dementia level of care for up to 124 residents.  There were 101 residents at the time of the audit.</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has significant health management experience and works full time.  She has been in the position since December 2019.  She is supported by an experienced clinical manager, unit coordinators and also an assistant manager.</w:t>
      </w:r>
    </w:p>
    <w:p w:rsidRPr="00A4268A">
      <w:pPr>
        <w:spacing w:before="240" w:line="276" w:lineRule="auto"/>
        <w:rPr>
          <w:rFonts w:eastAsia="Calibri"/>
        </w:rPr>
      </w:pPr>
      <w:r w:rsidRPr="00A4268A">
        <w:rPr>
          <w:rFonts w:eastAsia="Calibri"/>
        </w:rPr>
        <w:t>The service continues to implement a comprehensive quality and risk management system.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 xml:space="preserve">The two shortfalls identified at the previous audit around neurological observations and care plan interventions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that resident rights are respected and that communication with the service is very good.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service has fully implemented the Ryman, quality and risk system.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 site.  Individual and special dietary needs are accommodated.  Nutritious snacks are available 24-hours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reactive and planned maintenance plan schedule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three residents with restraint and no residents with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2"/>
        <w:gridCol w:w="1280"/>
        <w:gridCol w:w="10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visible locations around the facility.  Information about complaints is provided on admission.  Interviews with residents (three rest home and two hospital level) and family, confirmed their understanding of the complaints process.  They reported that they would feel comfortable addressing a concern with the village manager and/or clinical manager.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and meetings document that issues raised have been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Three complaints were logged for 2019 and one year-to-date for 2020.  Complaints included issues brought up by residents through the resident meetings.  All complaints included an acknowledgment, investigation and responses to the complainant within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to guide staff on the process around open disclosure.  The village manager and clinical manager confirmed family are kept informed.  Relatives (two hospital, two rest home and three with family members in the secure dementia unit)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Ernest Rutherford is a Ryman Healthcare retirement village.  They are certified to provide rest home, hospital and dementia levels of care in their care centre for up to 124 residents including 30 serviced apartments that are certified to provide rest home level care.  Sixty-nine beds in the care centre are certified as dual purpose beds and twenty-five beds are available in the special care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in the care centre was 27 rest home, including one respite; 39 residents at hospital level and 25 dementia level residents.  There were ten rest home level residents in the serviced apartments.  The hospital level of care is certified for geriatric and medical.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Annual objectives are defined with evidence of monthly reviews and quarterly reporting to senior managers on progress towards meeting these objectives.  Staff are kept informed of progress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an experienced Ryman manager who has recently moved into the village manager role at Ernest Rutherford.  The village manager is supported by a regional manager, an assistant manager and a clinical manager/RN.  She has attended a minimum of eight hours of professional development per year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Ernest Rutherford continues to implement the well-established quality and risk management system that is directed from Ryman Christchurch.  Quality and risk performance is reported across the facility meetings and to the organisation's management team.  Meetings include the TeamRyman (full staff/quality meetings), caregiver meetings, weekly management meetings and service area specific meetings (laundry and activities as examples).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and staff (six caregivers, one cook, one maintenance person, eight registered nurses, one enrolled nurse, the diversional therapist, two activity staff, the physiotherapist, the physiotherapy assistant)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relative meetings are held including a separate meeting for the dementia unit relatives.  Minutes are maintained with evidence of follow-up.  Resident and relative surveys are completed with the last survey completed in August 2019.  Results are benchmarked against all Ryman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meetings.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 service develops quality improvement plans (QIP) where internal processes such as incidents/accidents, infection control, internal audit document an adverse result.  QIPs are documented as followed up, reported to meeting and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continues to implement processes to collect, analyse and evaluate data, which is utilised for service improvements.  The service documents in-depth, six monthly reviews of falls, pressure injuries, behaviours that challenge and infections.  The report includes a review of trends, and action plans are documented for future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fourteen incidents and accidents for January and February 2020 identified that all forms were fully completed and include follow-up by a registered nurse, neurological observations were always completed according to Ryman policy, this is an improvement from the previous audit.  The clinical manager is involved in the adverse event process, with links to the regular management meetings and informal meetings.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Six monthly reviews of incidents and accidents are documented.  The review includes trends, review of most common reasons for falls, location, frequent fallers and serious falls (such as fractures).  The reports are communicated to head office and to service meetings, subsequent action plans are documented as followed up.  Pressure injuries and behaviours that challenge, also have a similar six-monthly review documented.</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with examples provided.  There have been two section 31 notifications; these were for pressure injuries (both non-facility acquired).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Eight staff files reviewed (four staff RNs, one clinical manager, one maintenance person and two caregivers) included an application form and reference checks, a signed contract, a job description relevant to the role the staff member is in and completed induction checklists.  There is a schedule for all staff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exceeds eight hours annually.  There is an attendance register for each training session and an individual staff member record of training.  Training is provided through a variety of forums including staff and service meetings, journal club, in-service training sessions and skype.  Registered nurses are supported to maintain their professional competency.  </w:t>
            </w:r>
          </w:p>
          <w:p w:rsidR="00EB7645" w:rsidRPr="00BE00C7" w:rsidP="00BE00C7">
            <w:pPr>
              <w:pStyle w:val="OutcomeDescription"/>
              <w:spacing w:before="120" w:after="120"/>
              <w:rPr>
                <w:rFonts w:cs="Arial"/>
                <w:b w:val="0"/>
                <w:lang w:eastAsia="en-NZ"/>
              </w:rPr>
            </w:pPr>
            <w:r w:rsidRPr="00BE00C7">
              <w:rPr>
                <w:rFonts w:cs="Arial"/>
                <w:b w:val="0"/>
                <w:lang w:eastAsia="en-NZ"/>
              </w:rPr>
              <w:t>Sixteen of twenty-three caregivers who work in the dementia unit have completed their dementia qualification.  The remaining seven caregivers have been employed for less than one year in the dementia unit and are in the process of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non-clinical and new to the service, she has experience managing other Ryman villages.  The clinical manager is an experienced registered nurse with a current practising certificate who works full time Tuesday-Saturday.  She is supported by two-unit coordinators (one each for hospital/rest home and dementia).  A third unit coordinator is in the process of being recruited for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covers two floors with an elevator and stairs for access.  There are 30 serviced apartments certified to provide rest home level of care that span two floors with 10 rest home level residents during the audit.  Senior caregiver cover is provided seven days a week on the AM shift and also on the PM shift.  The rest home caregivers cover the serviced apartments after 9 pm and through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are located on the ground floor.  </w:t>
            </w:r>
          </w:p>
          <w:p w:rsidR="00EB7645" w:rsidRPr="00BE00C7" w:rsidP="00BE00C7">
            <w:pPr>
              <w:pStyle w:val="OutcomeDescription"/>
              <w:spacing w:before="120" w:after="120"/>
              <w:rPr>
                <w:rFonts w:cs="Arial"/>
                <w:b w:val="0"/>
                <w:lang w:eastAsia="en-NZ"/>
              </w:rPr>
            </w:pPr>
            <w:r w:rsidRPr="00BE00C7">
              <w:rPr>
                <w:rFonts w:cs="Arial"/>
                <w:b w:val="0"/>
                <w:lang w:eastAsia="en-NZ"/>
              </w:rPr>
              <w:t>Rest home staffing: There were 24 rest home level residents and two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AM: One registered nurse and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PM: One senior caregiver and two further caregivers</w:t>
            </w:r>
          </w:p>
          <w:p w:rsidR="00EB7645" w:rsidRPr="00BE00C7" w:rsidP="00BE00C7">
            <w:pPr>
              <w:pStyle w:val="OutcomeDescription"/>
              <w:spacing w:before="120" w:after="120"/>
              <w:rPr>
                <w:rFonts w:cs="Arial"/>
                <w:b w:val="0"/>
                <w:lang w:eastAsia="en-NZ"/>
              </w:rPr>
            </w:pPr>
            <w:r w:rsidRPr="00BE00C7">
              <w:rPr>
                <w:rFonts w:cs="Arial"/>
                <w:b w:val="0"/>
                <w:lang w:eastAsia="en-NZ"/>
              </w:rPr>
              <w:t>Night: One senior caregiver and one other caregiver</w:t>
            </w:r>
          </w:p>
          <w:p w:rsidR="00EB7645" w:rsidRPr="00BE00C7" w:rsidP="00BE00C7">
            <w:pPr>
              <w:pStyle w:val="OutcomeDescription"/>
              <w:spacing w:before="120" w:after="120"/>
              <w:rPr>
                <w:rFonts w:cs="Arial"/>
                <w:b w:val="0"/>
                <w:lang w:eastAsia="en-NZ"/>
              </w:rPr>
            </w:pPr>
            <w:r w:rsidRPr="00BE00C7">
              <w:rPr>
                <w:rFonts w:cs="Arial"/>
                <w:b w:val="0"/>
                <w:lang w:eastAsia="en-NZ"/>
              </w:rPr>
              <w:t>Hospitals staffing: There were 37 hospital level residents and three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AM: Two registered nurses and a unit coordinator.  Caregiver staffing included; eight caregivers (four long shifts and four short), plus a fluid round support person</w:t>
            </w:r>
          </w:p>
          <w:p w:rsidR="00EB7645" w:rsidRPr="00BE00C7" w:rsidP="00BE00C7">
            <w:pPr>
              <w:pStyle w:val="OutcomeDescription"/>
              <w:spacing w:before="120" w:after="120"/>
              <w:rPr>
                <w:rFonts w:cs="Arial"/>
                <w:b w:val="0"/>
                <w:lang w:eastAsia="en-NZ"/>
              </w:rPr>
            </w:pPr>
            <w:r w:rsidRPr="00BE00C7">
              <w:rPr>
                <w:rFonts w:cs="Arial"/>
                <w:b w:val="0"/>
                <w:lang w:eastAsia="en-NZ"/>
              </w:rPr>
              <w:t>PM: Two registered nurses (also providing rest home oversight).  Caregivers staffing included; six caregivers (two long shifts and four shifts between 3 pm and 9 pm) plus a lounge supervisor caregiver</w:t>
            </w:r>
          </w:p>
          <w:p w:rsidR="00EB7645" w:rsidRPr="00BE00C7" w:rsidP="00BE00C7">
            <w:pPr>
              <w:pStyle w:val="OutcomeDescription"/>
              <w:spacing w:before="120" w:after="120"/>
              <w:rPr>
                <w:rFonts w:cs="Arial"/>
                <w:b w:val="0"/>
                <w:lang w:eastAsia="en-NZ"/>
              </w:rPr>
            </w:pPr>
            <w:r w:rsidRPr="00BE00C7">
              <w:rPr>
                <w:rFonts w:cs="Arial"/>
                <w:b w:val="0"/>
                <w:lang w:eastAsia="en-NZ"/>
              </w:rPr>
              <w:t>Night; One registered nurse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Secure dementia unit (25 beds, currently 25 residents):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staffed with a unit coordinator (RN) from Tuesday – Saturday and an RN on Sunday and Monday.  There are four caregivers who work the AM shift (two long shifts and two short shift), and three caregivers who cover the PM shift (two long and one short shift) plus a lounge supervisor.   Two caregivers cover the night shift.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guidelines.  Medication reconciliation of monthly blister packs is completed by RNs and any errors fed back to pharmacy.  Registered nurses, enrolled nurses and senior care assistants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along with the temperature in the three medication rooms – all were within required ranges.  All eye drops and cream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rest home resident self-medicating (inhaler only).  The resident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(seven hospital, four rest home and three dementia care) were reviewed on the electronic medication system.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 site.  The qualified head chef is supported by a second chef, kitchen assistants and a dishwasher assistant.  There is always a city guild trained chef in the kitchen when food is being prepared.  All staff have received chemical safety training.  There is an organisational four weekly seasonal menu that had been designed in consultation with the dietitian at organisational level.  Meals are delivered in hot boxes and served from bain maries in the kitchenettes.  Residents have a choice of two meal options for the lunch and evening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Resident likes, dislikes and dietary preferences were known.  Alternative foods are offered.  Cultural, religious and food allergies are accommodated.  Special diets such pureed/soft diets are provided.  Nutritious snacks are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and temperatures prior to serving are taken and recorded twice daily.  Chilled goods temperature is checked on delivery.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through resident meetings, survey and direct contact with the chefs.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up to date.  The myRyman electronic system interventions reviewed reflected the assessments and the level of care required.  The long-term care plan is updated to reflect current changes to resident conditions.  Residents with identified infections had updated care plans and progress notes reflected RN review, this is an improvement from the previous audit.  There was evidence of allied health care professionals involved in the care of the resident, including physiotherapist, podiatrist, dietitian, older persons health, geriatrician, and wound care nurse.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received adequate information for continuity of residents’ care.  The residents had input into their care planning and review, confirmed at resident and family interviews.  Regular GP care was implemented as sighted in current GP progress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including short-term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VCare system) for 11 residents with wounds (5 skin tears, 2 lesions and 4 other).  There was one facility acquired pressure injury (grade one).  Adequate dressing supplies were sighted in the treatment rooms.  The RNs could describe access to the DHB wound nurse or district nurses as required.  The GPs review wounds three monthly or earlier if there are signs of infection or non-healing.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activities staff members (one a qualified diversional therapist and the balance with a range of level 4 qualifications and progressing through the diversional therapy training), who coordinate and implement the activities programme across the four areas; rest home, serviced apartments, hospital and dementia care unit.  Activity staff attend on-site and organisational in-service relevant to their roles.  There is an organisational diversional therapist who is readily available to staff.  There are a number of volunteers who also assist with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has set activities with the flexibility for each service level to add activities that are meaningful and relevant for the resident group including Triple AAA exercises, themes events and celebrations, indoor bowls, baking in the kitchenettes, outings and drives.  There is a van trip weekly for each unit (facility van) and a mobility van is hired for hospital residents.  Residents in the dementia care unit are taken for daily walks (observed) around the gardens and grounds as weather permits.  Rest home residents in the serviced apartments attend the serviced apartment programme and have a rest home outing weekly to cafes, shopping, beach and other places of interest.  Daily contact is made with residents who choose not to be involved in the activity programme.  Community involvement includes entertainers, RSA speakers, school children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plans are in the process of being incorporated electronically onto VCare with the resident’s long-term care plan).  The resident/family/whānau as appropriate, are involved in the development of the activity plan.  Residents/relatives have the opportunity to feedback on the programme through the resident meetings and satisfaction surveys.  Residents and relatives commented positively on the activities available for each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for long term residents who had been at the service six months.  One hospital resident was on respite care.  Evaluations for long term residents are undertaken and any changes are updated on the long-term care plan.  The multidisciplinary review involves the RN, clinical manager, GP, care assistant, activities staff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January 2021.  The maintenance manager was interviewed and described the reactive and preventive maintenance system and evidenced records.  The facility has access to maintenance personnel after hours as required.  There are well kept garden areas with accessible outdoor spaces, seating and shade including a secure area for those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coordinator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three residents with restraint and no residents using  enablers.</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were reviewed for the use a restraint, both reflected an assessment, a consent process and regular (six-monthly) reviews.  Care plans reflected the use of and risks associated with restraint use.</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Ernest Rutherford Retirement Village Limited - Ernest Rutherford Retirement Village</w:t>
    </w:r>
    <w:bookmarkEnd w:id="58"/>
    <w:r>
      <w:rPr>
        <w:rFonts w:cs="Arial"/>
        <w:sz w:val="16"/>
        <w:szCs w:val="20"/>
      </w:rPr>
      <w:tab/>
      <w:t xml:space="preserve">Date of Audit: </w:t>
    </w:r>
    <w:bookmarkStart w:id="59" w:name="AuditStartDate1"/>
    <w:r>
      <w:rPr>
        <w:rFonts w:cs="Arial"/>
        <w:sz w:val="16"/>
        <w:szCs w:val="20"/>
      </w:rPr>
      <w:t>16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