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Halldene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Halldene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2020</w:t>
      </w:r>
      <w:bookmarkEnd w:id="7"/>
      <w:r w:rsidRPr="009418D4">
        <w:rPr>
          <w:rFonts w:cs="Arial"/>
        </w:rPr>
        <w:tab/>
        <w:t xml:space="preserve">End date: </w:t>
      </w:r>
      <w:bookmarkStart w:id="8" w:name="AuditEndDate"/>
      <w:r w:rsidR="00A4268A">
        <w:rPr>
          <w:rFonts w:cs="Arial"/>
        </w:rPr>
        <w:t>28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CHT Halldene is owned and operated by the CHT Healthcare Trust.  The service currently provides care for up to 60 residents requiring hospital (geriatric and medical) and rest home level care.  On the day of the audit, there were 43 residents.  </w:t>
      </w:r>
    </w:p>
    <w:p w:rsidRPr="00A4268A">
      <w:pPr>
        <w:spacing w:before="240" w:line="276" w:lineRule="auto"/>
        <w:rPr>
          <w:rFonts w:eastAsia="Calibri"/>
        </w:rPr>
      </w:pPr>
      <w:r w:rsidRPr="00A4268A">
        <w:rPr>
          <w:rFonts w:eastAsia="Calibri"/>
        </w:rPr>
        <w:t xml:space="preserve">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The service has an established quality and risk management system.  A unit manager, who is well qualified and experienced for the role oversees the service and is supported by a clinical coordinator and the area manager.  Residents, relatives and the nurse practitioner interviewed spoke positively about the service provided.</w:t>
      </w:r>
    </w:p>
    <w:p w:rsidRPr="00A4268A">
      <w:pPr>
        <w:spacing w:before="240" w:line="276" w:lineRule="auto"/>
        <w:rPr>
          <w:rFonts w:eastAsia="Calibri"/>
        </w:rPr>
      </w:pPr>
      <w:r w:rsidRPr="00A4268A">
        <w:rPr>
          <w:rFonts w:eastAsia="Calibri"/>
        </w:rPr>
        <w:t>Six of the six shortfalls identified as part of the previous partial provisional audit have been addressed.  These were around: completion of the environment for residents including a CPU, external landscaping, completing fire drills, a fire evacuation approval, and an operational call bell system.</w:t>
      </w:r>
    </w:p>
    <w:p w:rsidRPr="00A4268A">
      <w:pPr>
        <w:spacing w:before="240" w:line="276" w:lineRule="auto"/>
        <w:rPr>
          <w:rFonts w:eastAsia="Calibri"/>
        </w:rPr>
      </w:pPr>
      <w:r w:rsidRPr="00A4268A">
        <w:rPr>
          <w:rFonts w:eastAsia="Calibri"/>
        </w:rPr>
        <w:t>This audit has identified areas requiring improvement around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CHT Halldene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Electronic 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an electronic medication management system in place that follows appropriate administration and storage practices.  Each resident is reviewed at least three-monthly by their general practitioner or nurse practitioner.  A range of individual and group activities is available and coordinated by the diversional therapist.  All meals are prepared on site.  There is a seasonal menu in place, which is reviewed by a dietitian.  Residents' food preferences are accommodated and the residents and relatives reported satisfaction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CPU and an approved emergency evacuation plan.  Reactive and planned maintenance is in place.  All bedrooms are single occupancy and have either their own ensuites or a shared ensuite toilet.  There are sufficient communal showers.  There is sufficient space to allow the safe movement of residents around the facility using mobility aids.  There are communal dining rooms and lounges and several smaller seating areas.  The internal areas are able to be ventilated and heated.  The outdoor areas are safe and easily accessible.  Cleaning contractors and laundry staff are providing appropriate services.  Emergency systems and equipment are in place in the event of a fire or external disaster.  There is a first aider on duty at all times and call bells are fully operational.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Halldene has restraint minimisation and safe practice policies and procedures in place.  Staff receive training in restraint minimisation and challenging behaviour management.  On the day of audit, there were two residents on restraint (one bed rail and one lap belt) and one resident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0"/>
        <w:gridCol w:w="1280"/>
        <w:gridCol w:w="102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throughout the facility.  Information about complaints is provided on admission.  Interview with two hospital and two rest home level residents demonstrated an understanding of the complaints process.  All staff interviewed (five healthcare assistants, three RNs, one cook, one diversional therapist and two maintenance staff) were able to describe the process around reporting complaints.  There is a paper-based and electronic complaints’ register.  There were eight complaints made in 2019 and one year-to-date.  All complaints reviewed had noted investigation, timeframes, corrective actions when required and resolutions were in place if required.  Results are fed back to complainants.  Discussions with residents confirmed that any issues are addressed, and they feel comfortable to raise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unit manager and clinical coordinator confirmed family are kept informed.  Relatives (two hospital and two rest home) stated they are notified promptly of any incidents/accidents and change of health status.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There is access to an interpreter service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Halldene is owned and operated by the CHT Healthcare Trust.  The service provides rest home and hospital level care for up to 60 residents.  On the day of the audit, there were 43 residents in total, 10 rest home level and 33 hospital level.  This includes one rest home resident funded through disability support services (DSS) a ministry of Health contract.  The remainder were under the ARRC agreement.  All rooms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in the manager role at the facility  for over five years.  A clinical coordinator who has been in the position since 2017 supports her.  The unit manager reports to the area manager weekly on a variety of operational issues.  CHT has an overall business/strategic plan and CHT Halldene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business/strategic plan that includes quality goals and risk management plans.  The 2020 service-specific business and quality plan was in the  process of development with input from staff members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All quality information is collected on an electronic data base enabling review by senior staff at head office as well as at service level.  These are used to assist three monthly reviews of business and quality plans.</w:t>
            </w:r>
          </w:p>
          <w:p w:rsidR="00EB7645" w:rsidRPr="00BE00C7" w:rsidP="00BE00C7">
            <w:pPr>
              <w:pStyle w:val="OutcomeDescription"/>
              <w:spacing w:before="120" w:after="120"/>
              <w:rPr>
                <w:rFonts w:cs="Arial"/>
                <w:b w:val="0"/>
                <w:lang w:eastAsia="en-NZ"/>
              </w:rPr>
            </w:pPr>
            <w:r w:rsidRPr="00BE00C7">
              <w:rPr>
                <w:rFonts w:cs="Arial"/>
                <w:b w:val="0"/>
                <w:lang w:eastAsia="en-NZ"/>
              </w:rPr>
              <w:t>Monthly staff/quality meeting minutes sighted evidenced staff discussion around accident/incident data, health and safety, infection control, audit outcomes, concerns and survey feedback.  Meeting minutes sighted evidenced there is discussion around quality data including complaints, compliments, health and safety, accident/incident, infection control, internal audits and survey results.  The staff interviewed were aware of quality data results, trends and corrective actions.  Additional meetings include registered nurse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designed to monitor contractual and standards compliance.  The service's policies are reviewed at national level, with input from facility staff every two years.  New/updated policies are sent from head office.  Staff have access to manuals.  Resident/relative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 comprehensive six-monthly internal audit was last completed in January 2020.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Residents/relatives’ satisfaction surveys for 2019 continue to show high results in majority of areas (90% or higher).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monthly staff meetings which include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Twelve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coordinator with the unit manager collects incident forms, investigates and implements corrective actions as required.  Discussions with the unit manager confirmed that there is an awareness of the requirement to notify relevant authorities in relation to essential notifications.  There was appropriate notification made around a pressure injury (stage three) and three staffing issues in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Halldene continues to implement CHT human resource management policies.  A copy of practising certificates is kept.  Five staff files were reviewed (two registered nurses, one activities coordinator and two healthcare assistants) and evidenced that reference checks were completed before employment was offered.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Current practising certificates were sighted for the registered nurses.  The service has an orientation programme in place that provides new staff with relevant information for safe work practice in the provision of rest home and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2019 has been completed and a plan for 2020 is being implemented.  The unit manager and registered nurses are able to attend external training, including sessions provided by the local DHB.  Four registered nurses (including the UM and CC) of eight registered nurses,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in place for determining staffing levels and skills mix for safe service delivery.  Rosters implement the staffing rationale.  Staff working on the days of the audit, were visible and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CHT Halldene has two care floors; each floor has a capacity of 30 residents (all beds are dual purpose rest home and hospital).  As the building is new, the service is in the process of filling the new beds.  At the time of audit, there were 43 residents over the two floors with the service setting staffing levels for 45 residents.  Staffing continues to increase as resident numbers increase.  At the time of audit, the service rostered staff on one roster and allocated groups of residents.  The unit manager informed that following rosters would be by floor as numbers had increased.</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included;</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and clinical coordinator (both practicing RNs) Monday to Friday, both of whom take a clinical leadership role.</w:t>
            </w:r>
          </w:p>
          <w:p w:rsidR="00EB7645" w:rsidRPr="00BE00C7" w:rsidP="00BE00C7">
            <w:pPr>
              <w:pStyle w:val="OutcomeDescription"/>
              <w:spacing w:before="120" w:after="120"/>
              <w:rPr>
                <w:rFonts w:cs="Arial"/>
                <w:b w:val="0"/>
                <w:lang w:eastAsia="en-NZ"/>
              </w:rPr>
            </w:pPr>
            <w:r w:rsidRPr="00BE00C7">
              <w:rPr>
                <w:rFonts w:cs="Arial"/>
                <w:b w:val="0"/>
                <w:lang w:eastAsia="en-NZ"/>
              </w:rPr>
              <w:t>There are two RNs on each of the AM and PM shift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rostering includes;</w:t>
            </w:r>
          </w:p>
          <w:p w:rsidR="00EB7645" w:rsidRPr="00BE00C7" w:rsidP="00BE00C7">
            <w:pPr>
              <w:pStyle w:val="OutcomeDescription"/>
              <w:spacing w:before="120" w:after="120"/>
              <w:rPr>
                <w:rFonts w:cs="Arial"/>
                <w:b w:val="0"/>
                <w:lang w:eastAsia="en-NZ"/>
              </w:rPr>
            </w:pPr>
            <w:r w:rsidRPr="00BE00C7">
              <w:rPr>
                <w:rFonts w:cs="Arial"/>
                <w:b w:val="0"/>
                <w:lang w:eastAsia="en-NZ"/>
              </w:rPr>
              <w:t>AM five full shifts and two short shifts.  PM four full shifts and one short shift and three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Staff is also added to with orientating healthcare assistants ready for the increase in rosters.  There is an activity staff member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electronic medication orders with photo identification and allergy status documented on the electronic system.  All medicines are stored securely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contracted with a medical practice.  This has enabled a GP to attend as well as a nurse practitioner.   The nurse practitioner interviewed was satisfied that all  residents are seen and reviewed in timely manner.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verification check is completed by the RN against the resident’s medicine order when new medicines are supplied from the pharmacy.  Medication orders include indications for use of ‘as needed’ medicines.  Short-life medications (i.e., eye drops and ointments) are dated once opened.  Education on medication management has occurred with competencies conducted for the registered nurse and senior healthcare assistants with medication administration responsibilities.  Ten medication charts reviewed identified that the GP had seen the resident three-monthly and the medication chart was signed each time a medicine was administered by staff.  A registered nurse was observed administering medications and followed correct procedures.  There were no residents self-administering medicines.  Fridge temperatures were recorded and room temperature recording had commenced.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by contracted kitchen staff.  There is a food services manual in place to guide staff.  A resident nutritional profile is developed for each resident on admission and is provided to the kitchen staff.  The kitchen can meet the needs of residents who require special diets.  Kitchen staff have completed food safety and chemical safety training.  The kitchen manager and cooks follow a menu, which has been reviewed by the contracted company’s dietitian.  The cook (interviewed) was able to describe alternative meals offered for residents with dislikes and food is fortified for residents with weight loss.  The temperatures of refrigerators, freezers and cooked foods are monitored and recorded.  There is special equipment available for residents if required.  All food is stored appropriately.  Residents and the family members interviewed were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care plans were reviewed (three hospital and two rest home).  All five files included an up to date interRAI assessment.  The interRAI assessments had informed the development of the resident’s care plan.  Care plans reviewed included; residents with falls, warfarin use, pressure area care and behaviours that challenge plus  follow-up of a resident following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short-term needs.  Short-term care plans are evaluated regularly, and all had documentation that the issue had resolved in a timely manner.  There was documented evidence where care plans had been updated with a change of health status.  Falls interventions, warfarin use and pressure area care were addressed well.  Pain management and challenging behaviour were documented in the care plan but interventions not documented well.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confirmed they are involved in the care planning and review process.  Short-term care plans are in use for changes in health status.  Care staff interviewed reported the care plans are readily available and they found the plans easy to follow.  HCAs reported that handovers were comprehensive and that they are aware of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care plan (link 1.3.5.2).  RNs report progress against the care plan each shift at handover.  If external nursing or allied health advice is required, the RNs will initiate a referral as evidenced in resident files.  If external medical/specialist advice is required, this will be initiated by the GP.  Healthcare assistants reported that they are informed of any changes to residents required needs at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dressing supplies.  Sufficient continence products are available and resident files included a continence assessment and plan in the care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wound management plans and short-term care plans are in place for 13 wound care plans reviewed, there were no identified pressure injuries.  The RNs have access to specialist nursing wound care management advice through the district health board (DHB).  Appropriate pressure injury interventions were documented in the care plans of residents identified as high risk of pressure injury and two residents with healed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Blood sugar monitoring, regular weight monitoring, turning charts and intake and fluid balance charts in use were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staff employed (one a diversional therapist and one a weekend activities person) who are responsible for the planning and delivery of the individual and group activities programme with assistance from staff.  There are organised activities for seven hours per day, seven days per week.  CHT have also employed a supervising diversional therapist for all services who has her office at CHT Halldene.</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provided in the communal areas, in seating areas and outdoors in the gardens when weather permits.  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involved with a variety of activities.  The group activities programme is developed monthly and published weekly .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residents’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Closed chatrooms have been introduced to facilitate communication between residents and staff.  Theme Days – CHT has introduced various theme days to support the activities programme.  Special menus are organised, and posters, tablecloths and decorations provided to build the theme around.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evaluated at least six monthly or earlier if there is a change in health status, using the electronic care planning system.  Care plan evaluations are documented and include reporting progress on meeting goals.  All changes in health status are documented and followed up.  Six monthly reassessments have been completed by RNs using interRAI for all residents and for those who have had a significant change in health status.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CPU for the building dated December 2019 for one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three-story building was fully completed at the time of audit with offices and ancillary services on the bottom floor and two care floors above.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purchased new equipment for the new wings.  Equipment is appropriate for hospital, medical and rest home level care.  Corrective actions since the partial provisional audit include; a code of compliance.  All furnishings, shelving, paint, floorings, handrails and equipment have been installed to meet resident and staff needs and communal bathrooms are identifiable and privacy is ensured, hot water monitoring has been maintained and external areas have been landscaped to provide a safe and accessible outside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electrical and medical equipment is checked as part of the annual maintenance and verification checks.  Equipment and medical equipment calibration and servicing is captured within the quality programme and scheduled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relating to provision of equipment, furniture and amenities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sufficient equipment to meet the needs of current residents and sufficient equipment including suction and oxygen equipment, to meet the needs of medical level hospital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and disaster manual includes dealing with emergencies and disasters, essential locations, internal emergencies and external emergencies.  Emergencies, first aid and CPR are included in the mandatory in-services programme and the annual training plan includes emergency training.  First aid training for staff is in place with a staff member on duty at all times on level two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generator on site in the event of a power failure.  There is a civil defence kit for the whole facility and drinkable water is stored in large holding tanks.  A civil defence folder includes procedures specific to the facility and organisation.  There are walkie talkies in staff rooms on each floor to communicate between floors in the event of an emergency/fire.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dated 3 September 2019.  There are emergency management plans in place to ensure health, civil defence and other emergencies are included.  Two to four monthly fire evacuation practice documentation was sighted for the new building as part of orientation of new staff.  This is an improvement from the previous partial provisional audit.  There are adequate supplies in the event of a civil defence emergency including food, water and gas cooking.  Short-term back-up power for emergency lighting and the call bell system is in place.  A minimum of one person trained in first aid and cardiopulmonary resuscitation (CPR) is available always.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This is an improvement from the partial provisional audit.  Residents were observed to have their call bells near.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the facility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two residents with restraint and one resident with an enabler.  One enabler file sampled documented that enabler use is voluntary.  All necessary documentation has been completed in relation to the restraints.  Policies and procedures include definition of restraint and enabler that are congruent with the definition in NZS 8134.0.  Staff training/education on restraint/enablers has been provided as part of the annual training programme.  Restraint is discussed as part of staff meetings.  A registered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1"/>
        <w:gridCol w:w="1280"/>
        <w:gridCol w:w="5179"/>
        <w:gridCol w:w="2899"/>
        <w:gridCol w:w="16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had been completed by registered nurses using the assessment process integrated within the electronic care planning system.  Caps identified from interRAI assessments were reflected into care plans.  The interventions to manage identified issues were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resident care plans (both rest home) did not reflect the management strategies to support and manage residents with behaviours that challenge/anxiety.  </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care plan did not document the location, type and nursing interventions for pain.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interventions are documented to support all identified risks and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Halldene Rest Home</w:t>
    </w:r>
    <w:bookmarkEnd w:id="58"/>
    <w:r>
      <w:rPr>
        <w:rFonts w:cs="Arial"/>
        <w:sz w:val="16"/>
        <w:szCs w:val="20"/>
      </w:rPr>
      <w:tab/>
      <w:t xml:space="preserve">Date of Audit: </w:t>
    </w:r>
    <w:bookmarkStart w:id="59" w:name="AuditStartDate1"/>
    <w:r>
      <w:rPr>
        <w:rFonts w:cs="Arial"/>
        <w:sz w:val="16"/>
        <w:szCs w:val="20"/>
      </w:rPr>
      <w:t>27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