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A03640">
      <w:pPr>
        <w:pStyle w:val="Heading1"/>
        <w:rPr>
          <w:rFonts w:cs="Arial"/>
        </w:rPr>
      </w:pPr>
      <w:bookmarkStart w:id="0" w:name="PRMS_RIName"/>
      <w:r>
        <w:rPr>
          <w:rFonts w:cs="Arial"/>
        </w:rPr>
        <w:t>Canterbury District Health Board</w:t>
      </w:r>
      <w:bookmarkEnd w:id="0"/>
    </w:p>
    <w:p w:rsidR="00460D43" w:rsidRDefault="00A03640">
      <w:pPr>
        <w:pStyle w:val="Heading2"/>
        <w:spacing w:after="0"/>
        <w:rPr>
          <w:rFonts w:cs="Arial"/>
        </w:rPr>
      </w:pPr>
      <w:r>
        <w:rPr>
          <w:rFonts w:cs="Arial"/>
        </w:rPr>
        <w:t>Introduction</w:t>
      </w:r>
    </w:p>
    <w:p w:rsidR="00460D43" w:rsidRDefault="00A0364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A03640">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A0364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03640"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A03640">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A0364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0364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Canterbury District Health Board</w:t>
      </w:r>
      <w:bookmarkEnd w:id="4"/>
    </w:p>
    <w:p w:rsidR="005A5115" w:rsidRPr="009418D4" w:rsidRDefault="00A036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Hillmorton Hospital||Oxford Hospital||The Princess Margaret Hospital||Tuarangi Home||Rangiora Hospital||Waikari Hospital||Christchurch Hospital||Darfield Hosp</w:t>
      </w:r>
      <w:r>
        <w:rPr>
          <w:rFonts w:cs="Arial"/>
        </w:rPr>
        <w:t>ital</w:t>
      </w:r>
      <w:bookmarkEnd w:id="5"/>
    </w:p>
    <w:p w:rsidR="005A5115" w:rsidRPr="009418D4" w:rsidRDefault="00A036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services; Hospital services - Geriatric services (excl. psychogeriatric); Rest home care (excluding </w:t>
      </w:r>
      <w:r>
        <w:rPr>
          <w:rFonts w:cs="Arial"/>
        </w:rPr>
        <w:t>dementia care); Hospital services - Children's health services; Dementia care; Hospital services - Surgical services; Hospital services - Maternity services</w:t>
      </w:r>
      <w:bookmarkEnd w:id="6"/>
    </w:p>
    <w:p w:rsidR="005A5115" w:rsidRPr="009418D4" w:rsidRDefault="00A036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March 2020</w:t>
      </w:r>
      <w:bookmarkEnd w:id="7"/>
      <w:r w:rsidRPr="009418D4">
        <w:rPr>
          <w:rFonts w:cs="Arial"/>
        </w:rPr>
        <w:tab/>
        <w:t xml:space="preserve">End date: </w:t>
      </w:r>
      <w:bookmarkStart w:id="8" w:name="AuditEndDate"/>
      <w:r>
        <w:rPr>
          <w:rFonts w:cs="Arial"/>
        </w:rPr>
        <w:t>6 March 2020</w:t>
      </w:r>
      <w:bookmarkEnd w:id="8"/>
    </w:p>
    <w:p w:rsidR="005A5115" w:rsidRPr="009418D4" w:rsidRDefault="00A036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w:t>
      </w:r>
      <w:r w:rsidRPr="009D18F5">
        <w:rPr>
          <w:rFonts w:cs="Arial"/>
          <w:b/>
        </w:rPr>
        <w:t>s (if any):</w:t>
      </w:r>
      <w:r w:rsidRPr="009418D4">
        <w:rPr>
          <w:rFonts w:cs="Arial"/>
        </w:rPr>
        <w:t xml:space="preserve"> </w:t>
      </w:r>
      <w:bookmarkStart w:id="9" w:name="ProposedChangesToServices"/>
      <w:r w:rsidRPr="009418D4">
        <w:rPr>
          <w:rFonts w:cs="Arial"/>
        </w:rPr>
        <w:t>The new reconfigured spinal unit was opened in September 2019. The number of beds has stayed at 30 in total.</w:t>
      </w:r>
    </w:p>
    <w:bookmarkEnd w:id="9"/>
    <w:p w:rsidR="002E71CD" w:rsidRPr="009418D4" w:rsidRDefault="00A036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1173</w:t>
      </w:r>
      <w:bookmarkEnd w:id="10"/>
    </w:p>
    <w:p w:rsidR="009D18F5" w:rsidRDefault="00A0364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03640">
      <w:pPr>
        <w:pStyle w:val="Heading1"/>
        <w:rPr>
          <w:rFonts w:cs="Arial"/>
        </w:rPr>
      </w:pPr>
      <w:r>
        <w:rPr>
          <w:rFonts w:cs="Arial"/>
        </w:rPr>
        <w:lastRenderedPageBreak/>
        <w:t>Executive summary of the audit</w:t>
      </w:r>
    </w:p>
    <w:p w:rsidR="00460D43" w:rsidRDefault="00A03640">
      <w:pPr>
        <w:pStyle w:val="Heading2"/>
        <w:rPr>
          <w:rFonts w:cs="Arial"/>
        </w:rPr>
      </w:pPr>
      <w:r>
        <w:rPr>
          <w:rFonts w:cs="Arial"/>
        </w:rPr>
        <w:t>Intro</w:t>
      </w:r>
      <w:r>
        <w:rPr>
          <w:rFonts w:cs="Arial"/>
        </w:rPr>
        <w:t>duction</w:t>
      </w:r>
    </w:p>
    <w:p w:rsidR="00460D43" w:rsidRDefault="00A0364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03640">
      <w:pPr>
        <w:pStyle w:val="ListParagraph"/>
        <w:numPr>
          <w:ilvl w:val="0"/>
          <w:numId w:val="1"/>
        </w:numPr>
        <w:spacing w:before="240" w:after="240"/>
        <w:rPr>
          <w:rFonts w:cs="Arial"/>
          <w:lang w:eastAsia="en-NZ"/>
        </w:rPr>
      </w:pPr>
      <w:r>
        <w:rPr>
          <w:rFonts w:cs="Arial"/>
          <w:lang w:eastAsia="en-NZ"/>
        </w:rPr>
        <w:t>consumer rights</w:t>
      </w:r>
    </w:p>
    <w:p w:rsidR="00460D43" w:rsidRDefault="00A03640">
      <w:pPr>
        <w:pStyle w:val="ListParagraph"/>
        <w:numPr>
          <w:ilvl w:val="0"/>
          <w:numId w:val="1"/>
        </w:numPr>
        <w:spacing w:before="240" w:after="240"/>
        <w:rPr>
          <w:rFonts w:cs="Arial"/>
          <w:lang w:eastAsia="en-NZ"/>
        </w:rPr>
      </w:pPr>
      <w:r>
        <w:rPr>
          <w:rFonts w:cs="Arial"/>
          <w:lang w:eastAsia="en-NZ"/>
        </w:rPr>
        <w:t>organisational management</w:t>
      </w:r>
    </w:p>
    <w:p w:rsidR="00460D43" w:rsidRDefault="00A03640">
      <w:pPr>
        <w:pStyle w:val="ListParagraph"/>
        <w:numPr>
          <w:ilvl w:val="0"/>
          <w:numId w:val="1"/>
        </w:numPr>
        <w:spacing w:before="240" w:after="240"/>
        <w:rPr>
          <w:rFonts w:cs="Arial"/>
          <w:lang w:eastAsia="en-NZ"/>
        </w:rPr>
      </w:pPr>
      <w:r>
        <w:rPr>
          <w:rFonts w:cs="Arial"/>
          <w:lang w:eastAsia="en-NZ"/>
        </w:rPr>
        <w:t>continuum of s</w:t>
      </w:r>
      <w:r>
        <w:rPr>
          <w:rFonts w:cs="Arial"/>
          <w:lang w:eastAsia="en-NZ"/>
        </w:rPr>
        <w:t>ervice delivery (the provision of services)</w:t>
      </w:r>
    </w:p>
    <w:p w:rsidR="00460D43" w:rsidRDefault="00A0364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0364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0364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0364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03640">
      <w:pPr>
        <w:pStyle w:val="Heading2"/>
        <w:spacing w:after="0"/>
        <w:rPr>
          <w:rFonts w:cs="Arial"/>
        </w:rPr>
      </w:pPr>
      <w:r>
        <w:rPr>
          <w:rFonts w:cs="Arial"/>
        </w:rPr>
        <w:t>General overview of the audit</w:t>
      </w:r>
    </w:p>
    <w:p w:rsidR="00E536CC" w:rsidRDefault="00A03640">
      <w:pPr>
        <w:spacing w:before="240" w:line="276" w:lineRule="auto"/>
        <w:rPr>
          <w:rFonts w:eastAsia="Calibri"/>
        </w:rPr>
      </w:pPr>
      <w:bookmarkStart w:id="11" w:name="GeneralOverview"/>
      <w:r w:rsidRPr="00A4268A">
        <w:rPr>
          <w:rFonts w:eastAsia="Calibri"/>
        </w:rPr>
        <w:t xml:space="preserve">The </w:t>
      </w:r>
      <w:r w:rsidRPr="00A4268A">
        <w:rPr>
          <w:rFonts w:eastAsia="Calibri"/>
        </w:rPr>
        <w:t>Canterbury District Health Board operates 1619 inpatient beds across 14 sites from Kaikoura to Ashburton. This surveillance audit included visits to Hillmorton hospital, Oxford hospital, Princess Margaret hospital, Tuarangi home, Rangiora hospital, Waikari</w:t>
      </w:r>
      <w:r w:rsidRPr="00A4268A">
        <w:rPr>
          <w:rFonts w:eastAsia="Calibri"/>
        </w:rPr>
        <w:t xml:space="preserve"> hospital, Christchurch hospital and Darfield hospital. The audit team were provided with a comprehensive self-assessment with supporting evidence prior to the onsite audit. Eight individual tracers and four systems tracers were undertaken during the on-si</w:t>
      </w:r>
      <w:r w:rsidRPr="00A4268A">
        <w:rPr>
          <w:rFonts w:eastAsia="Calibri"/>
        </w:rPr>
        <w:t>te visit.</w:t>
      </w:r>
    </w:p>
    <w:p w:rsidR="002E71CD" w:rsidRPr="00A4268A" w:rsidRDefault="00A03640">
      <w:pPr>
        <w:spacing w:before="240" w:line="276" w:lineRule="auto"/>
        <w:rPr>
          <w:rFonts w:eastAsia="Calibri"/>
        </w:rPr>
      </w:pPr>
      <w:r w:rsidRPr="00A4268A">
        <w:rPr>
          <w:rFonts w:eastAsia="Calibri"/>
        </w:rPr>
        <w:t>The Canterbury District Health Board continues to face challenges from the impact of the earthquakes and increasing demand for services. Challenges include capacity, workforce, infrastructure and shifts in the population’s health profile and heal</w:t>
      </w:r>
      <w:r w:rsidRPr="00A4268A">
        <w:rPr>
          <w:rFonts w:eastAsia="Calibri"/>
        </w:rPr>
        <w:t xml:space="preserve">th needs. </w:t>
      </w:r>
    </w:p>
    <w:p w:rsidR="002E71CD" w:rsidRPr="00A4268A" w:rsidRDefault="00A03640">
      <w:pPr>
        <w:spacing w:before="240" w:line="276" w:lineRule="auto"/>
        <w:rPr>
          <w:rFonts w:eastAsia="Calibri"/>
        </w:rPr>
      </w:pPr>
      <w:r w:rsidRPr="00A4268A">
        <w:rPr>
          <w:rFonts w:eastAsia="Calibri"/>
        </w:rPr>
        <w:t xml:space="preserve">The organisation continues to improve health care services involving health professionals and consumers. Staff reported they feel well supported and patients interviewed were positive about the care and treatment they receive. </w:t>
      </w:r>
    </w:p>
    <w:p w:rsidR="002E71CD" w:rsidRPr="00A4268A" w:rsidRDefault="00A03640">
      <w:pPr>
        <w:spacing w:before="240" w:line="276" w:lineRule="auto"/>
        <w:rPr>
          <w:rFonts w:eastAsia="Calibri"/>
        </w:rPr>
      </w:pPr>
      <w:r w:rsidRPr="00A4268A">
        <w:rPr>
          <w:rFonts w:eastAsia="Calibri"/>
        </w:rPr>
        <w:lastRenderedPageBreak/>
        <w:t>Required improvem</w:t>
      </w:r>
      <w:r w:rsidRPr="00A4268A">
        <w:rPr>
          <w:rFonts w:eastAsia="Calibri"/>
        </w:rPr>
        <w:t>ents closed out from the previous certification audit include informed consent in mental health; goal orientated care planning in mental health, and Darfield and Waikari hospitals, aged care services; activity programmes at Darfield and Waikari hospitals a</w:t>
      </w:r>
      <w:r w:rsidRPr="00A4268A">
        <w:rPr>
          <w:rFonts w:eastAsia="Calibri"/>
        </w:rPr>
        <w:t>nd enabler safe practice and training.</w:t>
      </w:r>
    </w:p>
    <w:p w:rsidR="002E71CD" w:rsidRPr="00A4268A" w:rsidRDefault="00A03640">
      <w:pPr>
        <w:spacing w:before="240" w:line="276" w:lineRule="auto"/>
        <w:rPr>
          <w:rFonts w:eastAsia="Calibri"/>
        </w:rPr>
      </w:pPr>
      <w:r w:rsidRPr="00A4268A">
        <w:rPr>
          <w:rFonts w:eastAsia="Calibri"/>
        </w:rPr>
        <w:t>There are a total of 10 findings as a result of the surveillance audit, including required improvements from the previous audit not closed out. Required improvements remaining include document control; corrective acti</w:t>
      </w:r>
      <w:r w:rsidRPr="00A4268A">
        <w:rPr>
          <w:rFonts w:eastAsia="Calibri"/>
        </w:rPr>
        <w:t>on plans; performance appraisals; mandatory training; clinical record documentation (patient goal setting) and medication management.</w:t>
      </w:r>
    </w:p>
    <w:p w:rsidR="002E71CD" w:rsidRPr="00A4268A" w:rsidRDefault="00A03640">
      <w:pPr>
        <w:spacing w:before="240" w:line="276" w:lineRule="auto"/>
        <w:rPr>
          <w:rFonts w:eastAsia="Calibri"/>
        </w:rPr>
      </w:pPr>
      <w:r w:rsidRPr="00A4268A">
        <w:rPr>
          <w:rFonts w:eastAsia="Calibri"/>
        </w:rPr>
        <w:t xml:space="preserve">There are new required improvements as a result of this audit, including consent process documentation (enduring power of </w:t>
      </w:r>
      <w:r w:rsidRPr="00A4268A">
        <w:rPr>
          <w:rFonts w:eastAsia="Calibri"/>
        </w:rPr>
        <w:t>attorney processes, resuscitation), Darfield hospital maternity staffing, assessment (family violence screening compliance), evaluation (deteriorating patient processes and post falls observations at Tuarangi home).</w:t>
      </w:r>
    </w:p>
    <w:bookmarkEnd w:id="11"/>
    <w:p w:rsidR="002E71CD" w:rsidRPr="00A4268A" w:rsidRDefault="002E71CD">
      <w:pPr>
        <w:spacing w:before="240" w:line="276" w:lineRule="auto"/>
        <w:rPr>
          <w:rFonts w:eastAsia="Calibri"/>
        </w:rPr>
      </w:pPr>
    </w:p>
    <w:p w:rsidR="00460D43" w:rsidRDefault="00A03640" w:rsidP="000E6E02">
      <w:pPr>
        <w:pStyle w:val="Heading2"/>
        <w:spacing w:before="0"/>
        <w:rPr>
          <w:rFonts w:cs="Arial"/>
        </w:rPr>
      </w:pPr>
      <w:r>
        <w:rPr>
          <w:rFonts w:cs="Arial"/>
        </w:rPr>
        <w:t>Consumer rights</w:t>
      </w:r>
    </w:p>
    <w:p w:rsidR="00460D43" w:rsidRDefault="00A03640">
      <w:pPr>
        <w:spacing w:before="240" w:line="276" w:lineRule="auto"/>
        <w:rPr>
          <w:rFonts w:eastAsia="Calibri"/>
        </w:rPr>
      </w:pPr>
      <w:bookmarkStart w:id="12" w:name="ConsumerRights"/>
      <w:r w:rsidRPr="00A4268A">
        <w:rPr>
          <w:rFonts w:eastAsia="Calibri"/>
        </w:rPr>
        <w:t xml:space="preserve">Information pertaining to consumer rights and the advocacy service is on </w:t>
      </w:r>
      <w:r w:rsidRPr="00A4268A">
        <w:rPr>
          <w:rFonts w:eastAsia="Calibri"/>
        </w:rPr>
        <w:t>display throughout the organisation. There are policies, procedures and processes to meet obligations in relation to the Code of Health and Disability Services Consumers’ Rights. Staff interviewed were familiar with consumer rights and were able to discuss</w:t>
      </w:r>
      <w:r w:rsidRPr="00A4268A">
        <w:rPr>
          <w:rFonts w:eastAsia="Calibri"/>
        </w:rPr>
        <w:t xml:space="preserve"> how they incorporate these into interactions with patients and the family/whānau.</w:t>
      </w:r>
    </w:p>
    <w:p w:rsidR="002E71CD" w:rsidRPr="00A4268A" w:rsidRDefault="00A03640">
      <w:pPr>
        <w:spacing w:before="240" w:line="276" w:lineRule="auto"/>
        <w:rPr>
          <w:rFonts w:eastAsia="Calibri"/>
        </w:rPr>
      </w:pPr>
      <w:r w:rsidRPr="00A4268A">
        <w:rPr>
          <w:rFonts w:eastAsia="Calibri"/>
        </w:rPr>
        <w:t>Patients and family/whānau across all services audited confirmed they are provided with information on their rights.</w:t>
      </w:r>
    </w:p>
    <w:p w:rsidR="002E71CD" w:rsidRPr="00A4268A" w:rsidRDefault="00A03640">
      <w:pPr>
        <w:spacing w:before="240" w:line="276" w:lineRule="auto"/>
        <w:rPr>
          <w:rFonts w:eastAsia="Calibri"/>
        </w:rPr>
      </w:pPr>
      <w:r w:rsidRPr="00A4268A">
        <w:rPr>
          <w:rFonts w:eastAsia="Calibri"/>
        </w:rPr>
        <w:t>Patients confirmed they receive information to enable in</w:t>
      </w:r>
      <w:r w:rsidRPr="00A4268A">
        <w:rPr>
          <w:rFonts w:eastAsia="Calibri"/>
        </w:rPr>
        <w:t xml:space="preserve">formed decision making. </w:t>
      </w:r>
    </w:p>
    <w:p w:rsidR="002E71CD" w:rsidRPr="00A4268A" w:rsidRDefault="00A03640">
      <w:pPr>
        <w:spacing w:before="240" w:line="276" w:lineRule="auto"/>
        <w:rPr>
          <w:rFonts w:eastAsia="Calibri"/>
        </w:rPr>
      </w:pPr>
      <w:r w:rsidRPr="00A4268A">
        <w:rPr>
          <w:rFonts w:eastAsia="Calibri"/>
        </w:rPr>
        <w:t>There is access to information on how to make a complaint. The complaints process is documented and implemented according to Right 10 of the Code of Health and Disability Services Consumers’ Rights.</w:t>
      </w:r>
    </w:p>
    <w:bookmarkEnd w:id="12"/>
    <w:p w:rsidR="002E71CD" w:rsidRPr="00A4268A" w:rsidRDefault="002E71CD">
      <w:pPr>
        <w:spacing w:before="240" w:line="276" w:lineRule="auto"/>
        <w:rPr>
          <w:rFonts w:eastAsia="Calibri"/>
        </w:rPr>
      </w:pPr>
    </w:p>
    <w:p w:rsidR="00460D43" w:rsidRDefault="00A03640" w:rsidP="000E6E02">
      <w:pPr>
        <w:pStyle w:val="Heading2"/>
        <w:spacing w:before="0"/>
        <w:rPr>
          <w:rFonts w:cs="Arial"/>
        </w:rPr>
      </w:pPr>
      <w:r>
        <w:rPr>
          <w:rFonts w:cs="Arial"/>
        </w:rPr>
        <w:lastRenderedPageBreak/>
        <w:t>Organisational management</w:t>
      </w:r>
    </w:p>
    <w:p w:rsidR="00460D43" w:rsidRDefault="00A03640">
      <w:pPr>
        <w:spacing w:before="240" w:line="276" w:lineRule="auto"/>
        <w:rPr>
          <w:rFonts w:eastAsia="Calibri"/>
        </w:rPr>
      </w:pPr>
      <w:bookmarkStart w:id="13" w:name="OrganisationalManagement"/>
      <w:r w:rsidRPr="00A4268A">
        <w:rPr>
          <w:rFonts w:eastAsia="Calibri"/>
        </w:rPr>
        <w:t xml:space="preserve">Review of documents and interviews confirmed the Board sets a clear direction for the organisation and leadership is provided by the chief executive and executive team. </w:t>
      </w:r>
    </w:p>
    <w:p w:rsidR="002E71CD" w:rsidRPr="00A4268A" w:rsidRDefault="00A03640">
      <w:pPr>
        <w:spacing w:before="240" w:line="276" w:lineRule="auto"/>
        <w:rPr>
          <w:rFonts w:eastAsia="Calibri"/>
        </w:rPr>
      </w:pPr>
      <w:r w:rsidRPr="00A4268A">
        <w:rPr>
          <w:rFonts w:eastAsia="Calibri"/>
        </w:rPr>
        <w:t>A clinical governance framework is implemented and staff described the quality and ris</w:t>
      </w:r>
      <w:r w:rsidRPr="00A4268A">
        <w:rPr>
          <w:rFonts w:eastAsia="Calibri"/>
        </w:rPr>
        <w:t>k management systems that support the organisation.  Decision making is supported by data which is used also for national reporting and benchmarking. Policies and procedures guide practice. Staff discussed the risks to the organisation which are understood</w:t>
      </w:r>
      <w:r w:rsidRPr="00A4268A">
        <w:rPr>
          <w:rFonts w:eastAsia="Calibri"/>
        </w:rPr>
        <w:t xml:space="preserve"> and managed. </w:t>
      </w:r>
    </w:p>
    <w:p w:rsidR="002E71CD" w:rsidRPr="00A4268A" w:rsidRDefault="00A03640">
      <w:pPr>
        <w:spacing w:before="240" w:line="276" w:lineRule="auto"/>
        <w:rPr>
          <w:rFonts w:eastAsia="Calibri"/>
        </w:rPr>
      </w:pPr>
      <w:r w:rsidRPr="00A4268A">
        <w:rPr>
          <w:rFonts w:eastAsia="Calibri"/>
        </w:rPr>
        <w:t xml:space="preserve">Adverse events are reported, investigated, and managed. An electronic incident reporting system enables analysis of data. Open disclosure occurs and this was confirmed in interviews with patients and their families. Staff confirmed they are </w:t>
      </w:r>
      <w:r w:rsidRPr="00A4268A">
        <w:rPr>
          <w:rFonts w:eastAsia="Calibri"/>
        </w:rPr>
        <w:t>trained to use the reporting system.</w:t>
      </w:r>
    </w:p>
    <w:p w:rsidR="002E71CD" w:rsidRPr="00A4268A" w:rsidRDefault="00A03640">
      <w:pPr>
        <w:spacing w:before="240" w:line="276" w:lineRule="auto"/>
        <w:rPr>
          <w:rFonts w:eastAsia="Calibri"/>
        </w:rPr>
      </w:pPr>
      <w:r w:rsidRPr="00A4268A">
        <w:rPr>
          <w:rFonts w:eastAsia="Calibri"/>
        </w:rPr>
        <w:t>Human resource management processes support managers and staff across the organisation. Credentialing of medical staff occurs and staff discussed the processes that are in place to review professional qualifications, re</w:t>
      </w:r>
      <w:r w:rsidRPr="00A4268A">
        <w:rPr>
          <w:rFonts w:eastAsia="Calibri"/>
        </w:rPr>
        <w:t>gistration and scopes of practice.</w:t>
      </w:r>
    </w:p>
    <w:p w:rsidR="002E71CD" w:rsidRPr="00A4268A" w:rsidRDefault="00A03640">
      <w:pPr>
        <w:spacing w:before="240" w:line="276" w:lineRule="auto"/>
        <w:rPr>
          <w:rFonts w:eastAsia="Calibri"/>
        </w:rPr>
      </w:pPr>
      <w:r w:rsidRPr="00A4268A">
        <w:rPr>
          <w:rFonts w:eastAsia="Calibri"/>
        </w:rPr>
        <w:t>The inpatient service is operated 24 hours a day, 7 days a week with coordination occurring across sites as required to ensure clinical services are staffed safely.</w:t>
      </w:r>
    </w:p>
    <w:bookmarkEnd w:id="13"/>
    <w:p w:rsidR="002E71CD" w:rsidRPr="00A4268A" w:rsidRDefault="002E71CD">
      <w:pPr>
        <w:spacing w:before="240" w:line="276" w:lineRule="auto"/>
        <w:rPr>
          <w:rFonts w:eastAsia="Calibri"/>
        </w:rPr>
      </w:pPr>
    </w:p>
    <w:p w:rsidR="00460D43" w:rsidRDefault="00A03640" w:rsidP="000E6E02">
      <w:pPr>
        <w:pStyle w:val="Heading2"/>
        <w:spacing w:before="0"/>
        <w:rPr>
          <w:rFonts w:cs="Arial"/>
        </w:rPr>
      </w:pPr>
      <w:r>
        <w:rPr>
          <w:rFonts w:cs="Arial"/>
        </w:rPr>
        <w:t>Continuum of service delivery</w:t>
      </w:r>
    </w:p>
    <w:p w:rsidR="00E536CC" w:rsidRPr="005E14A4" w:rsidRDefault="00A03640" w:rsidP="00621629">
      <w:pPr>
        <w:spacing w:before="240" w:line="276" w:lineRule="auto"/>
        <w:rPr>
          <w:rFonts w:eastAsia="Calibri"/>
        </w:rPr>
      </w:pPr>
      <w:bookmarkStart w:id="14" w:name="ContinuumOfServiceDelivery"/>
      <w:r w:rsidRPr="00A4268A">
        <w:rPr>
          <w:rFonts w:eastAsia="Calibri"/>
        </w:rPr>
        <w:t xml:space="preserve">Canterbury District Health Board has processes in place to support inpatient care, including the development and implementation of emerging technology. </w:t>
      </w:r>
    </w:p>
    <w:p w:rsidR="002E71CD" w:rsidRPr="00A4268A" w:rsidRDefault="00A03640" w:rsidP="00621629">
      <w:pPr>
        <w:spacing w:before="240" w:line="276" w:lineRule="auto"/>
        <w:rPr>
          <w:rFonts w:eastAsia="Calibri"/>
        </w:rPr>
      </w:pPr>
      <w:r w:rsidRPr="00A4268A">
        <w:rPr>
          <w:rFonts w:eastAsia="Calibri"/>
        </w:rPr>
        <w:t>The review of individual patients’ journeys and incidental sampling of clinical records demonstrated a multi-disciplinary team approach to patient care. Patients’ journeys were followed through eight individual patient tracers in the medical; surgical; mat</w:t>
      </w:r>
      <w:r w:rsidRPr="00A4268A">
        <w:rPr>
          <w:rFonts w:eastAsia="Calibri"/>
        </w:rPr>
        <w:t xml:space="preserve">ernity; age residential care; child health; surgical; mental health and geriatric services.  </w:t>
      </w:r>
    </w:p>
    <w:p w:rsidR="002E71CD" w:rsidRPr="00A4268A" w:rsidRDefault="00A03640" w:rsidP="00621629">
      <w:pPr>
        <w:spacing w:before="240" w:line="276" w:lineRule="auto"/>
        <w:rPr>
          <w:rFonts w:eastAsia="Calibri"/>
        </w:rPr>
      </w:pPr>
      <w:r w:rsidRPr="00A4268A">
        <w:rPr>
          <w:rFonts w:eastAsia="Calibri"/>
        </w:rPr>
        <w:lastRenderedPageBreak/>
        <w:t xml:space="preserve">Four systems tracers were completed in falls management, deteriorating patient, medication management and infection prevention and control. </w:t>
      </w:r>
    </w:p>
    <w:p w:rsidR="002E71CD" w:rsidRPr="00A4268A" w:rsidRDefault="00A03640" w:rsidP="00621629">
      <w:pPr>
        <w:spacing w:before="240" w:line="276" w:lineRule="auto"/>
        <w:rPr>
          <w:rFonts w:eastAsia="Calibri"/>
        </w:rPr>
      </w:pPr>
      <w:r w:rsidRPr="00A4268A">
        <w:rPr>
          <w:rFonts w:eastAsia="Calibri"/>
        </w:rPr>
        <w:t>The patients’ clinica</w:t>
      </w:r>
      <w:r w:rsidRPr="00A4268A">
        <w:rPr>
          <w:rFonts w:eastAsia="Calibri"/>
        </w:rPr>
        <w:t>l records confirmed that each stage of service provision is completed by a suitably qualified person. In observations, interviews and review of clinical records, there was evidence that patient care and treatment was conducted by nursing, medical and multi</w:t>
      </w:r>
      <w:r w:rsidRPr="00A4268A">
        <w:rPr>
          <w:rFonts w:eastAsia="Calibri"/>
        </w:rPr>
        <w:t xml:space="preserve">disciplinary staff members. Access to medical and nursing staff is 24 hours a day, 7 days a week. Patients’ and family interviews confirmed they were satisfied with the care and treatment. </w:t>
      </w:r>
    </w:p>
    <w:p w:rsidR="002E71CD" w:rsidRPr="00A4268A" w:rsidRDefault="00A03640" w:rsidP="00621629">
      <w:pPr>
        <w:spacing w:before="240" w:line="276" w:lineRule="auto"/>
        <w:rPr>
          <w:rFonts w:eastAsia="Calibri"/>
        </w:rPr>
      </w:pPr>
      <w:r w:rsidRPr="00A4268A">
        <w:rPr>
          <w:rFonts w:eastAsia="Calibri"/>
        </w:rPr>
        <w:t>Continuity of service delivery is maintained through: clinical rec</w:t>
      </w:r>
      <w:r w:rsidRPr="00A4268A">
        <w:rPr>
          <w:rFonts w:eastAsia="Calibri"/>
        </w:rPr>
        <w:t>ords; family meetings; multidisciplinary meetings; medical rounds; written and verbal handovers; patient bedside boards and bedside handovers. Sharing of information between staff was demonstrated.</w:t>
      </w:r>
    </w:p>
    <w:p w:rsidR="002E71CD" w:rsidRPr="00A4268A" w:rsidRDefault="00A03640" w:rsidP="00621629">
      <w:pPr>
        <w:spacing w:before="240" w:line="276" w:lineRule="auto"/>
        <w:rPr>
          <w:rFonts w:eastAsia="Calibri"/>
        </w:rPr>
      </w:pPr>
      <w:r w:rsidRPr="00A4268A">
        <w:rPr>
          <w:rFonts w:eastAsia="Calibri"/>
        </w:rPr>
        <w:t xml:space="preserve">The multidisciplinary team plans patient’s discharge with </w:t>
      </w:r>
      <w:r w:rsidRPr="00A4268A">
        <w:rPr>
          <w:rFonts w:eastAsia="Calibri"/>
        </w:rPr>
        <w:t xml:space="preserve">a team approach, including the patient. Community services and other providers are included in discharge planning when this is required.  </w:t>
      </w:r>
    </w:p>
    <w:bookmarkEnd w:id="14"/>
    <w:p w:rsidR="002E71CD" w:rsidRPr="00A4268A" w:rsidRDefault="002E71CD" w:rsidP="00621629">
      <w:pPr>
        <w:spacing w:before="240" w:line="276" w:lineRule="auto"/>
        <w:rPr>
          <w:rFonts w:eastAsia="Calibri"/>
        </w:rPr>
      </w:pPr>
    </w:p>
    <w:p w:rsidR="00460D43" w:rsidRDefault="00A03640" w:rsidP="000E6E02">
      <w:pPr>
        <w:pStyle w:val="Heading2"/>
        <w:spacing w:before="0"/>
        <w:rPr>
          <w:rFonts w:cs="Arial"/>
        </w:rPr>
      </w:pPr>
      <w:r>
        <w:rPr>
          <w:rFonts w:cs="Arial"/>
        </w:rPr>
        <w:t>Safe and appropriate environment</w:t>
      </w:r>
    </w:p>
    <w:p w:rsidR="00460D43" w:rsidRDefault="00A03640">
      <w:pPr>
        <w:spacing w:before="240" w:line="276" w:lineRule="auto"/>
        <w:rPr>
          <w:rFonts w:eastAsia="Calibri"/>
        </w:rPr>
      </w:pPr>
      <w:bookmarkStart w:id="15" w:name="SafeAndAppropriateEnvironment"/>
      <w:r w:rsidRPr="00A4268A">
        <w:rPr>
          <w:rFonts w:eastAsia="Calibri"/>
        </w:rPr>
        <w:t>Canterbury District Health Board continues to manage buildings that were damaged in the earthquake. A comprehensive building programme is continuing and at the time of this audit the mo</w:t>
      </w:r>
      <w:r w:rsidRPr="00A4268A">
        <w:rPr>
          <w:rFonts w:eastAsia="Calibri"/>
        </w:rPr>
        <w:t xml:space="preserve">ve into the new Christchurch hospital was being planned for later in the year. All buildings have a current warrant of fitness. Discussion with staff confirmed the planned maintenance programme ensure all buildings, plant and equipment are safe. The newly </w:t>
      </w:r>
      <w:r w:rsidRPr="00A4268A">
        <w:rPr>
          <w:rFonts w:eastAsia="Calibri"/>
        </w:rPr>
        <w:t>refurbished and reconfigured spinal unit on the Burwood hospital site is now operational.</w:t>
      </w:r>
    </w:p>
    <w:bookmarkEnd w:id="15"/>
    <w:p w:rsidR="002E71CD" w:rsidRPr="00A4268A" w:rsidRDefault="002E71CD">
      <w:pPr>
        <w:spacing w:before="240" w:line="276" w:lineRule="auto"/>
        <w:rPr>
          <w:rFonts w:eastAsia="Calibri"/>
        </w:rPr>
      </w:pPr>
    </w:p>
    <w:p w:rsidR="00460D43" w:rsidRDefault="00A03640" w:rsidP="000E6E02">
      <w:pPr>
        <w:pStyle w:val="Heading2"/>
        <w:spacing w:before="0"/>
        <w:rPr>
          <w:rFonts w:cs="Arial"/>
        </w:rPr>
      </w:pPr>
      <w:r>
        <w:rPr>
          <w:rFonts w:cs="Arial"/>
        </w:rPr>
        <w:lastRenderedPageBreak/>
        <w:t>Restraint minimisation and safe practice</w:t>
      </w:r>
    </w:p>
    <w:p w:rsidR="00460D43" w:rsidRDefault="00A03640">
      <w:pPr>
        <w:spacing w:before="240" w:line="276" w:lineRule="auto"/>
        <w:rPr>
          <w:rFonts w:eastAsia="Calibri"/>
        </w:rPr>
      </w:pPr>
      <w:bookmarkStart w:id="16" w:name="RestraintMinimisationAndSafePractice"/>
      <w:r w:rsidRPr="00A4268A">
        <w:rPr>
          <w:rFonts w:eastAsia="Calibri"/>
        </w:rPr>
        <w:t>Restraint minimisation and safe practice processes are established across the organisation. There are policies in place to guide practice and</w:t>
      </w:r>
      <w:r w:rsidRPr="00A4268A">
        <w:rPr>
          <w:rFonts w:eastAsia="Calibri"/>
        </w:rPr>
        <w:t xml:space="preserve"> staff confirmed the reporting system captures incidents and allows staff to review each incident systematically. All episodes of restraint and seclusion are monitored. Definitions within the policy documents align with the standards.</w:t>
      </w:r>
    </w:p>
    <w:bookmarkEnd w:id="16"/>
    <w:p w:rsidR="002E71CD" w:rsidRPr="00A4268A" w:rsidRDefault="002E71CD">
      <w:pPr>
        <w:spacing w:before="240" w:line="276" w:lineRule="auto"/>
        <w:rPr>
          <w:rFonts w:eastAsia="Calibri"/>
        </w:rPr>
      </w:pPr>
    </w:p>
    <w:p w:rsidR="00460D43" w:rsidRDefault="00A03640" w:rsidP="000E6E02">
      <w:pPr>
        <w:pStyle w:val="Heading2"/>
        <w:spacing w:before="0"/>
        <w:rPr>
          <w:rFonts w:cs="Arial"/>
        </w:rPr>
      </w:pPr>
      <w:r>
        <w:rPr>
          <w:rFonts w:cs="Arial"/>
        </w:rPr>
        <w:t>Infection prevention</w:t>
      </w:r>
      <w:r>
        <w:rPr>
          <w:rFonts w:cs="Arial"/>
        </w:rPr>
        <w:t xml:space="preserve"> and control</w:t>
      </w:r>
    </w:p>
    <w:p w:rsidR="00460D43" w:rsidRDefault="00A03640">
      <w:pPr>
        <w:spacing w:before="240" w:line="276" w:lineRule="auto"/>
        <w:rPr>
          <w:rFonts w:eastAsia="Calibri"/>
        </w:rPr>
      </w:pPr>
      <w:bookmarkStart w:id="17" w:name="InfectionPreventionAndControl"/>
      <w:r w:rsidRPr="00A4268A">
        <w:rPr>
          <w:rFonts w:eastAsia="Calibri"/>
        </w:rPr>
        <w:t xml:space="preserve">The organisation has a continual surveillance programme that is linked to policy planning and systems. Surveillance is reported at the executive and divisional level. </w:t>
      </w:r>
    </w:p>
    <w:p w:rsidR="002E71CD" w:rsidRPr="00A4268A" w:rsidRDefault="00A03640">
      <w:pPr>
        <w:spacing w:before="240" w:line="276" w:lineRule="auto"/>
        <w:rPr>
          <w:rFonts w:eastAsia="Calibri"/>
        </w:rPr>
      </w:pPr>
      <w:r w:rsidRPr="00A4268A">
        <w:rPr>
          <w:rFonts w:eastAsia="Calibri"/>
        </w:rPr>
        <w:t>The infection preventi</w:t>
      </w:r>
      <w:r w:rsidRPr="00A4268A">
        <w:rPr>
          <w:rFonts w:eastAsia="Calibri"/>
        </w:rPr>
        <w:t>on and control system tracer focused on pandemic planning preparation for Covid-19 and influenza like illness. The organisation planning includes community and departmental involvement and staff confirmed they are educated and know how to respond as needed</w:t>
      </w:r>
      <w:r w:rsidRPr="00A4268A">
        <w:rPr>
          <w:rFonts w:eastAsia="Calibri"/>
        </w:rPr>
        <w:t xml:space="preserve">.  </w:t>
      </w:r>
      <w:bookmarkStart w:id="18" w:name="_GoBack"/>
      <w:bookmarkEnd w:id="17"/>
      <w:bookmarkEnd w:id="18"/>
    </w:p>
    <w:sectPr w:rsidR="002E71CD"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03640">
      <w:r>
        <w:separator/>
      </w:r>
    </w:p>
  </w:endnote>
  <w:endnote w:type="continuationSeparator" w:id="0">
    <w:p w:rsidR="00000000" w:rsidRDefault="00A0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A03640">
    <w:pPr>
      <w:pStyle w:val="Footer"/>
    </w:pPr>
  </w:p>
  <w:p w:rsidR="005A4A55" w:rsidRDefault="00A03640"/>
  <w:p w:rsidR="005A4A55" w:rsidRDefault="00A0364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A03640"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Canterbury District Health Board</w:t>
    </w:r>
    <w:bookmarkEnd w:id="19"/>
    <w:r>
      <w:rPr>
        <w:rFonts w:cs="Arial"/>
        <w:sz w:val="16"/>
        <w:szCs w:val="20"/>
      </w:rPr>
      <w:tab/>
      <w:t xml:space="preserve">Date of Audit: </w:t>
    </w:r>
    <w:bookmarkStart w:id="20" w:name="AuditStartDate1"/>
    <w:r>
      <w:rPr>
        <w:rFonts w:cs="Arial"/>
        <w:sz w:val="16"/>
        <w:szCs w:val="20"/>
      </w:rPr>
      <w:t>3 March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A036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A0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03640">
      <w:r>
        <w:separator/>
      </w:r>
    </w:p>
  </w:footnote>
  <w:footnote w:type="continuationSeparator" w:id="0">
    <w:p w:rsidR="00000000" w:rsidRDefault="00A0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A03640">
    <w:pPr>
      <w:pStyle w:val="Header"/>
    </w:pPr>
  </w:p>
  <w:p w:rsidR="005A4A55" w:rsidRDefault="00A036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A03640">
    <w:pPr>
      <w:pStyle w:val="Header"/>
    </w:pPr>
  </w:p>
  <w:p w:rsidR="005A4A55" w:rsidRDefault="00A036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A03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9676B33E">
      <w:start w:val="1"/>
      <w:numFmt w:val="decimal"/>
      <w:lvlText w:val="%1."/>
      <w:lvlJc w:val="left"/>
      <w:pPr>
        <w:ind w:left="360" w:hanging="360"/>
      </w:pPr>
    </w:lvl>
    <w:lvl w:ilvl="1" w:tplc="EE723A2E" w:tentative="1">
      <w:start w:val="1"/>
      <w:numFmt w:val="lowerLetter"/>
      <w:lvlText w:val="%2."/>
      <w:lvlJc w:val="left"/>
      <w:pPr>
        <w:ind w:left="1080" w:hanging="360"/>
      </w:pPr>
    </w:lvl>
    <w:lvl w:ilvl="2" w:tplc="7F348E6A" w:tentative="1">
      <w:start w:val="1"/>
      <w:numFmt w:val="lowerRoman"/>
      <w:lvlText w:val="%3."/>
      <w:lvlJc w:val="right"/>
      <w:pPr>
        <w:ind w:left="1800" w:hanging="180"/>
      </w:pPr>
    </w:lvl>
    <w:lvl w:ilvl="3" w:tplc="17E06492" w:tentative="1">
      <w:start w:val="1"/>
      <w:numFmt w:val="decimal"/>
      <w:lvlText w:val="%4."/>
      <w:lvlJc w:val="left"/>
      <w:pPr>
        <w:ind w:left="2520" w:hanging="360"/>
      </w:pPr>
    </w:lvl>
    <w:lvl w:ilvl="4" w:tplc="D0060FDC" w:tentative="1">
      <w:start w:val="1"/>
      <w:numFmt w:val="lowerLetter"/>
      <w:lvlText w:val="%5."/>
      <w:lvlJc w:val="left"/>
      <w:pPr>
        <w:ind w:left="3240" w:hanging="360"/>
      </w:pPr>
    </w:lvl>
    <w:lvl w:ilvl="5" w:tplc="CEAE9FC4" w:tentative="1">
      <w:start w:val="1"/>
      <w:numFmt w:val="lowerRoman"/>
      <w:lvlText w:val="%6."/>
      <w:lvlJc w:val="right"/>
      <w:pPr>
        <w:ind w:left="3960" w:hanging="180"/>
      </w:pPr>
    </w:lvl>
    <w:lvl w:ilvl="6" w:tplc="9258B298" w:tentative="1">
      <w:start w:val="1"/>
      <w:numFmt w:val="decimal"/>
      <w:lvlText w:val="%7."/>
      <w:lvlJc w:val="left"/>
      <w:pPr>
        <w:ind w:left="4680" w:hanging="360"/>
      </w:pPr>
    </w:lvl>
    <w:lvl w:ilvl="7" w:tplc="03288AAC" w:tentative="1">
      <w:start w:val="1"/>
      <w:numFmt w:val="lowerLetter"/>
      <w:lvlText w:val="%8."/>
      <w:lvlJc w:val="left"/>
      <w:pPr>
        <w:ind w:left="5400" w:hanging="360"/>
      </w:pPr>
    </w:lvl>
    <w:lvl w:ilvl="8" w:tplc="87AA0CC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1343B52">
      <w:start w:val="1"/>
      <w:numFmt w:val="bullet"/>
      <w:lvlText w:val=""/>
      <w:lvlJc w:val="left"/>
      <w:pPr>
        <w:ind w:left="720" w:hanging="360"/>
      </w:pPr>
      <w:rPr>
        <w:rFonts w:ascii="Symbol" w:hAnsi="Symbol" w:hint="default"/>
      </w:rPr>
    </w:lvl>
    <w:lvl w:ilvl="1" w:tplc="3D180F44" w:tentative="1">
      <w:start w:val="1"/>
      <w:numFmt w:val="bullet"/>
      <w:lvlText w:val="o"/>
      <w:lvlJc w:val="left"/>
      <w:pPr>
        <w:ind w:left="1440" w:hanging="360"/>
      </w:pPr>
      <w:rPr>
        <w:rFonts w:ascii="Courier New" w:hAnsi="Courier New" w:cs="Courier New" w:hint="default"/>
      </w:rPr>
    </w:lvl>
    <w:lvl w:ilvl="2" w:tplc="FFF2A68C" w:tentative="1">
      <w:start w:val="1"/>
      <w:numFmt w:val="bullet"/>
      <w:lvlText w:val=""/>
      <w:lvlJc w:val="left"/>
      <w:pPr>
        <w:ind w:left="2160" w:hanging="360"/>
      </w:pPr>
      <w:rPr>
        <w:rFonts w:ascii="Wingdings" w:hAnsi="Wingdings" w:hint="default"/>
      </w:rPr>
    </w:lvl>
    <w:lvl w:ilvl="3" w:tplc="F888459E" w:tentative="1">
      <w:start w:val="1"/>
      <w:numFmt w:val="bullet"/>
      <w:lvlText w:val=""/>
      <w:lvlJc w:val="left"/>
      <w:pPr>
        <w:ind w:left="2880" w:hanging="360"/>
      </w:pPr>
      <w:rPr>
        <w:rFonts w:ascii="Symbol" w:hAnsi="Symbol" w:hint="default"/>
      </w:rPr>
    </w:lvl>
    <w:lvl w:ilvl="4" w:tplc="42F8B630" w:tentative="1">
      <w:start w:val="1"/>
      <w:numFmt w:val="bullet"/>
      <w:lvlText w:val="o"/>
      <w:lvlJc w:val="left"/>
      <w:pPr>
        <w:ind w:left="3600" w:hanging="360"/>
      </w:pPr>
      <w:rPr>
        <w:rFonts w:ascii="Courier New" w:hAnsi="Courier New" w:cs="Courier New" w:hint="default"/>
      </w:rPr>
    </w:lvl>
    <w:lvl w:ilvl="5" w:tplc="DD7C6D7C" w:tentative="1">
      <w:start w:val="1"/>
      <w:numFmt w:val="bullet"/>
      <w:lvlText w:val=""/>
      <w:lvlJc w:val="left"/>
      <w:pPr>
        <w:ind w:left="4320" w:hanging="360"/>
      </w:pPr>
      <w:rPr>
        <w:rFonts w:ascii="Wingdings" w:hAnsi="Wingdings" w:hint="default"/>
      </w:rPr>
    </w:lvl>
    <w:lvl w:ilvl="6" w:tplc="C9B4A37C" w:tentative="1">
      <w:start w:val="1"/>
      <w:numFmt w:val="bullet"/>
      <w:lvlText w:val=""/>
      <w:lvlJc w:val="left"/>
      <w:pPr>
        <w:ind w:left="5040" w:hanging="360"/>
      </w:pPr>
      <w:rPr>
        <w:rFonts w:ascii="Symbol" w:hAnsi="Symbol" w:hint="default"/>
      </w:rPr>
    </w:lvl>
    <w:lvl w:ilvl="7" w:tplc="476A0738" w:tentative="1">
      <w:start w:val="1"/>
      <w:numFmt w:val="bullet"/>
      <w:lvlText w:val="o"/>
      <w:lvlJc w:val="left"/>
      <w:pPr>
        <w:ind w:left="5760" w:hanging="360"/>
      </w:pPr>
      <w:rPr>
        <w:rFonts w:ascii="Courier New" w:hAnsi="Courier New" w:cs="Courier New" w:hint="default"/>
      </w:rPr>
    </w:lvl>
    <w:lvl w:ilvl="8" w:tplc="69823F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CD"/>
    <w:rsid w:val="002E71CD"/>
    <w:rsid w:val="005228CC"/>
    <w:rsid w:val="00971CC8"/>
    <w:rsid w:val="00A036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B9A4"/>
  <w15:docId w15:val="{ADADC421-9AB2-4320-A754-5E9F5F3D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CE26-B29F-41AD-A3EC-D1D23C5F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9F042DB7</Template>
  <TotalTime>3</TotalTime>
  <Pages>7</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4</cp:revision>
  <dcterms:created xsi:type="dcterms:W3CDTF">2020-05-19T00:49:00Z</dcterms:created>
  <dcterms:modified xsi:type="dcterms:W3CDTF">2020-05-19T00:53:00Z</dcterms:modified>
</cp:coreProperties>
</file>