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Bishopscourt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Bishopscourt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2020</w:t>
      </w:r>
      <w:bookmarkEnd w:id="7"/>
      <w:r w:rsidRPr="009418D4">
        <w:rPr>
          <w:rFonts w:cs="Arial"/>
        </w:rPr>
        <w:tab/>
        <w:t xml:space="preserve">End date: </w:t>
      </w:r>
      <w:bookmarkStart w:id="8" w:name="AuditEndDate"/>
      <w:r w:rsidR="00A4268A">
        <w:rPr>
          <w:rFonts w:cs="Arial"/>
        </w:rPr>
        <w:t>18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Bishopscourt provides rest home and hospital level care for up to 42 residents in the care centre and up to 20 rest home residents in the serviced apartments.  On the day of the audit there were 40 residents in the care centre and four rest home residents in the serviced apartments.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 xml:space="preserve">The service is managed by a non-clinical village manager who has been in the role since 2013, and a care centre manager (RN) who has been in the role since November 2019.  The management team is supported by a regional operations manager and regional quality manager, one experienced clinical nurse lead, a team of registered nurses and caregivers.  </w:t>
      </w:r>
    </w:p>
    <w:p w:rsidRPr="00A4268A">
      <w:pPr>
        <w:spacing w:before="240" w:line="276" w:lineRule="auto"/>
        <w:rPr>
          <w:rFonts w:eastAsia="Calibri"/>
        </w:rPr>
      </w:pPr>
      <w:r w:rsidRPr="00A4268A">
        <w:rPr>
          <w:rFonts w:eastAsia="Calibri"/>
        </w:rPr>
        <w:t xml:space="preserve">This audit identified no areas for improvement.  </w:t>
      </w:r>
    </w:p>
    <w:p w:rsidRPr="00A4268A">
      <w:pPr>
        <w:spacing w:before="240" w:line="276" w:lineRule="auto"/>
        <w:rPr>
          <w:rFonts w:eastAsia="Calibri"/>
        </w:rPr>
      </w:pPr>
      <w:r w:rsidRPr="00A4268A">
        <w:rPr>
          <w:rFonts w:eastAsia="Calibri"/>
        </w:rPr>
        <w:t xml:space="preserve">The service has achieved a continued improvement rating around quality initiatives.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Summerset at Bishopscourt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relatives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system is in place.  Key components of the quality management system link to a number of meetings including monthly quality improvement meetings.  Annual surveys and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relatives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including ensuites.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There is an emergency plan in place including fire safety and there are sufficient civil defence supplies in the event of a civil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There were seven residents using bedrails as restraint and one resident using an enabler on the day of audit.  Consents, assessments and evaluations had been completed as per policy.  Restraint minimisation, enabler use, and challenging behaviour training is included in the training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is responsible for coordinating and providing education and training for staff.  The infection control officer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has been one respiratory outbreak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5"/>
        <w:gridCol w:w="1280"/>
        <w:gridCol w:w="9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13 care staff (three caregivers, three registered nurses, one clinical nurse lead, one cook, one maintenance, one housekeeping, one laundry assistant and two activities coordinators) confirmed their familiarity with the Health and Disability Commissioner (HDC) Code of Health and Disability Services Consumers’ Rights (the Code).  Four residents (two hospital and two rest home including resident from the serviced apartments) and four relatives (hospital level) were interviewed and confirmed the services being provided are in line with the Code.  All staff completed training around Code of Rights in August 2019.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admission agreements reviewed included written general and specific consents signed by either the resident or their EPOA at the time of admission.  Residents and relatives confirmed informed consent had been discussed with them at the time of admission, they also commented carers sought consent when undertaking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resuscitation forms were signed by the resident if competent or was a documented discussion with family/whānau when the resident was not competent, this was confirmed by the General Practitioner (GP).  In discussion with the family members of two hospital level residents both identified the service involves them in the development of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Rights and access to advocacy services on entry to the service and leaflets are displayed around the facility.  Residents interviewed confirmed they are aware of their right to access independent advocacy services and advocacy pamphlets are available at reception.  Code of Rights and advocacy is discussed with residents and relatives on admission to the service.  Meeting minutes are displayed on the resident noticeboard.  The service provides opportunities for the family/enduring power of attorney (EPOA) to be involved in decisions as evidenced in the resident files reviewed.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Interviews with staff, residents and relatives informed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including involvement from the care centre manager for clinical concerns/complaints.  There is an electronic complaint register that included relevant information regarding the complaint.  Documentation included acknowledgement, investigation, follow-up letters (offering advocacy) and resolution.  There were seven complaints in 2019 including a complaint which had been referred to the HDC.  The investigation for this complaint around resident care was completed by the regional quality manager.  Letters sent to the family, minutes from meetings with the family and the HDC evidence are on file.  The complaint has been left open and no further correspondence has been received from the family.  All follow-up actions have been completed.  One complaint has been received in 2020 (year to date).  Complaints and concerns are discussed at the relevant facility meeting.  A complaints procedure is provided to residents within the information pack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forms are available for residents/relatives and there is a suggestion box available.  Complaints are discussed at meetings as evidenced in the minutes.  Staff attended an education session around consumer rights and complaints in August 2019.  The caregivers interviewed could easily describe the complaints process by directing the complainant to the most senior member of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includes the Code, complaints and advocacy.  Information is given to the family or the enduring power of attorney (EPOA) to read to and/or discuss with the resident.  Residents and relatives interviewed identified they are well informed about the Code of Rights.  The Code of Rights (in English and Māori) are displayed near the nurses’ station of the care centre and in the main corridor of the service apartments.  Caregivers and nurses interviewed were knowledgeable around the role of the advocacy service and described instances where advocacy services would be utilised.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Contact details of spiritual/religious advisors are available.  Resident files include cultural and spiritual values.  Residents and relatives interviewed reported that residents are able to choose to engage in activities, access community resources and are supported to attend church services.  Staff were observed knocking on resident doors before entering the room.  There is an elder abuse and neglect policy.  Staff education around privacy and personal information education was held in October 2019.  Abuse and neglect and advocacy is to be held in 2020 (held every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a neighbouring community marae.  The service has access to advisors at the Māori health unit at the DHB and access to cultural education courses.  There were two residents on the day of audit identifying as Māori, both had cultural preferences and iwi affiliations recorded in their care plan.  Staff interviewed were able to describe how they would ensure they meet the cultural needs of residents identifying as Māori.  Treaty of Waitangi and cultural safety is included in the education planner and was last completed in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and relatives/EPOA are invited to attend.  Discussion with relatives confirmed values and beliefs are considered.  Residents interviewed confirmed that staff take into account their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House rules and a code of conduct are included in the employment contract and staff sign a professional boundaries policy on employment.  The staff and clinical meetings occur monthly and include discussions on professional boundaries and concerns as they arise.  Management provide guidelines and mentoring for specific situations.  Interviews with the village manager, care centre manager and clinical nurse leader confirmed an awareness of professional boundaries.  Caregivers and RNs interviewed were knowledgeable around the scope of their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are supported by the village manager and care centre manager. </w:t>
            </w:r>
          </w:p>
          <w:p w:rsidR="00EB7645" w:rsidRPr="00BE00C7" w:rsidP="00BE00C7">
            <w:pPr>
              <w:pStyle w:val="OutcomeDescription"/>
              <w:spacing w:before="120" w:after="120"/>
              <w:rPr>
                <w:rFonts w:cs="Arial"/>
                <w:b w:val="0"/>
                <w:lang w:eastAsia="en-NZ"/>
              </w:rPr>
            </w:pPr>
            <w:r w:rsidRPr="00BE00C7">
              <w:rPr>
                <w:rFonts w:cs="Arial"/>
                <w:b w:val="0"/>
                <w:lang w:eastAsia="en-NZ"/>
              </w:rPr>
              <w:t>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being implemented.  Caregivers, once orientation has been completed, hold level two Careerforce unit standards.  There is evidence of education being supported outside of the training plan.  Registered nurses have access to external DHB and hospice training sessions.  There is good liaison and working relationship with the DHB personnel and outside organisations such as the Hospice.  Services are provided at Summerset that adhere to the Health &amp; Disability services standards.  There are implemented competencies for caregivers and registered nurses specific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they were welcomed on entry and were given time and explanation about services and procedures.  Relatives interviewed also stated they are informed of changes in the resident’s health status and incidents/accidents as evidenced in the electronic incident forms reviewed.  Resident/relative meetings are held three monthly with an independent advocate.  The village manager and the care centre manager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DHB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42 residents at hospital (medical and geriatric) and rest home level care in the care centre and up to 20 rest home level of care residents in serviced apartments.      On the day of the audit, there were 44 residents in the care centre with 12 at rest home level and 28 hospital level residents including two residents on ACC funding, one resident on respite, and one resident on end of life funding.  All beds in the care centre are dual-purpose beds.  There were four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Bishopscourt has a site-specific business plan and goals that are developed in consultation with the village manager, care centre manager and regional quality manager.  The plan is reviewed quarterly throughout the year.  The 2019 plan has been reviewed and targets overall were met.  The 2020 objectives include (but not limited to); increasing satisfaction rates for residents, engaging with staff increasing staff education, to reduce staff turnover and providing a safe supportive environment, increasing the rate of uptake of the flu vaccine.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has been in the role since 2013.  The village manager is supported by a care centre manager/RN.  The care centre manager has been in her role since November 2019, and has a background in mental health, surgical nursing and has managed a community-based service.  The regional quality manager has been filling the temporary care centre manager role and has been orientating the current care centre manager to her role.  The regional quality manager was present for the audit.  They are supported by an experienced clinical nurse lead (CNL), and a team of registered nurses and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office administrator or a roving village manager will cover the village manager’s role.  The CNL will cover the care centre managers leave.  The regional quality manager provides oversight and support.  The care centre manager and CNL alternate weeks on-call and the village manager is available on-call for facility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Bishopscourt is implementing an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(but not limited to) monthly quality improvement meetings, staff meetings, registered nurse meetings and care staff meetings.  The infection control coordinator provides a monthly report and health and safety committee meetings are held.  Quality data such as infections, accidents/incident, hazards, restraint, audit outcomes, concerns/complaints are discussed and documented in meeting minutes.  Meeting minutes and quality data reports and graphs are available to all staff.  As a result of the HDC complaint, the service is currently implementing the Te Ara Whakapiri end of life care pathway.  The clinical nurse specialist from the Hospice visits regularly and provides assistance, advice and education for staff around care of the dying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Corrective action plans and re-audits are completed if audit results are less than expected.  Monthly and annual analysis of results is completed and communicated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Infection control is also included as part of benchmarking across the organisation.  Data is analysed and corrective actions are required based on benchmarking outcomes.   The regional quality manager is alerted automatically through the RMSS system of any high-level accident/incidents (resident, staff and environmental).  The service currently has quality initiatives around falls minimisation, palliative care, reducing restraint and reduction of polypharmacy.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for 2018 and reports 98.2% overall satisfaction rate.  This reduced to 96.4% in 2019.  However, the results did evidence improvements; the scale used is 1 (poor) to 5 (high).  Personal care – 3.9 in 2017 to 4.1 in 2018 increasing to 4.2 in 2019.  Meals increased from 3.4 in 2017, to 3.9 in 2018 to 4.0 in 2019.  Activities has decreased slightly – 4.6 in 2017, 4.1 in 2018 to 4.0 in 2019.  There were 52% of the residents and 62% of relatives who felt there was good communication and felt well informed.  The service has reviewed the activities team and programme as a corrective action, and progress is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committee.  The service has a health and safety officer (interviewed) who is the activities assistant, with health and safety level 1 qualifications.  The health and safety committee review incidents/accidents/hazards and near misses and provide a report to the quality improvement meeting.  Staff interviewed confirmed they are informed when health and safety meetings are due and can provide input into health and safety.  Each month there is a focus on one of the golden rules of safety.  All staff and contractors receive a health and safety induction.  The hazard register has been updated in March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Fifteen electronic resident-related incident reports for February 2020 were reviewed including four unwitnessed falls, two stage 1 pressure injuries, one challenging behaviour, five skin tear/bruise and three witnessed falls.  All reports and corresponding resident files reviewed evidenced that appropriate clinical care has been provided following an incident and the relative had been notified.  The incident reporting policy includes definitions and outlines responsibilities including immediate action, reporting, monitoring and corrective action to minimise and debriefing.  Pain assessments were completed post-falls and where appropriate for all other incidents.  Unwitnessed falls had neurological observations competed and reviewed by an RN, and opportunities to minimise risks were identified.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care centre manager and regional quality manager confirmed that there is an awareness of the requirement to notify relevant authorities in relation to essential notifications.  Section 31 notifications have been completed for the HDC complaint via the coroner, an instance of theft and the 2019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Eight staff files (one care centre manager, two RNs, four caregivers, one diversional therapist) were reviewed and all had relevant documentation relating to employment.  Performance appraisals had been completed annually.  The service has an orientation programme in place for each role that provides new staff with relevant information for safe work practice.  Staff interviewed were able to describe the orientation process and believed new staff were adequately orientated to the service.  Caregivers are level two of Careerforce once they have completed their orientation booklet.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plan has been completed for 2019 and commenced for 2020.  There are good attendance numbers and staff who do not attend are required to read the education material and sign the reading sheet.  The training programme is flexible enough to add additional in-services relevant to the service.  Ongoing education sessions include (but are not limited to); palliative care, recognising decline of the frail person, falls minimisation, pain assessment and management.  All compulsory sessions are held according to schedule.  External education is also provided.  There are six of nine RNs including the CNL who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Core competencies are completed, and a record of completion is maintained on staff files and online.  The contracted physiotherapist completes safe manual handling and hoist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The clinical nurse lead (CNL) works 40 hours from Tuesday to Saturday.  The care centre manager and the CNL share on 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including the CNL are rostered across all seven days, all shifts.  A third RN or EN is rostered on the days the GP visits.  On the afternoon shifts, a third RN or EN is rostered who work alongside the caregivers from 3 pm to 8 pm then attend to medication rounds.  Each RN has a day a week for documentation.  </w:t>
            </w:r>
          </w:p>
          <w:p w:rsidR="00EB7645" w:rsidRPr="00BE00C7" w:rsidP="00BE00C7">
            <w:pPr>
              <w:pStyle w:val="OutcomeDescription"/>
              <w:spacing w:before="120" w:after="120"/>
              <w:rPr>
                <w:rFonts w:cs="Arial"/>
                <w:b w:val="0"/>
                <w:lang w:eastAsia="en-NZ"/>
              </w:rPr>
            </w:pPr>
            <w:r w:rsidRPr="00BE00C7">
              <w:rPr>
                <w:rFonts w:cs="Arial"/>
                <w:b w:val="0"/>
                <w:lang w:eastAsia="en-NZ"/>
              </w:rPr>
              <w:t>On the morning shift in the care centre there are five caregivers rostered; 3x 7 am to 3 pm, 2x 7 am to 1.30 pm. on Tuesday, Wednesday and Thursday, one caregiver is rostered from 8 am to 1 pm as a caregiver, then is a physiotherapy assistant from 1 pm.  They are supported by a care team housekeeper from 8 am to 12 pm, this person tidies rooms and makes beds.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rostered on the afternoon shift; 2x 3 pm to 11 pm, 1x 4 pm to 9.30 pm, and 1x 5 pm to 11 pm.  They are supported by a care team housekeeper from 5.30 pm to 8.30 pm, this person tidies lounges, serves supper and puts the dishes into the kitchen.</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overnight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have one caregiver rostered from 7 am to 3 pm, 3 pm to 11 pm and 11 pm to 7 am.  The care centre staff relieve this caregiver for 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from 9.30 am to 6.30 pm Monday to Thursday, and 9.30 am to 4.30 pm Friday, Saturday and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Electronic resident files are password protected from unauthorised access.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enquiries are screened by the care centre and the village managers to ensure the service is able to provide for the specific needs of the resident and the level of care required.  Prior to entry all residents have undergone a needs assessment that identifies the resident’s level of care.  Two of the family/whānau and residents interviewed indicated that at the time of admission the admission agreement was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ensure exit, discharge of residents would occur in a safe and timely manner.  Planned exits, discharges or transfers are coordinated with the resident, family/whānau to ensure continuity of care.  Copies of documentation are saved in the correspondence area of the resident’s electronic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service has an electronic resident file which includes the electronic medication system.  All hospital and rest home residents including those in the care service apartments are entered onto the electronic medication system.  All medications were stored securely in the locked medication room.  The medication room had adequate safe storage and was at the correct temperature – less than 25 degrees Celsius.  The medication fridges were monitored weekly.  Original labels were present on medication in the medication trolley and cupboards.  Medications such as eye drops and creams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administered by RNs and senior caregivers, and annual competencies are completed by staff who administer medications.  When interviewed RNs and caregivers understood their medication administration role.  The RNs, enrolled nurse and senior caregivers are responsible for the administration of medications and have completed medication competencies and annual medication education.  The RNs have completed syringe driver training.  All medications and robotic rolls were evidenced to be checked on delivery with any discrepancies fed back to the supplying pharmacy.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fourteen (eight hospital and six rest home including three from the serviced apartments) electronic medication charts reviewed were charted and signed by the GP.  Each of the charts were reviewed three monthly, photo identification and allergies were documented.  All ‘as required’ PRN medications had indications for use identified and were correctly prescribed and administered as directed.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self-medicates, a self-medicating competency was in place, reviewed and signed by the GP three monthly.  The competency was scanned to the electronic file.  The medications were stored securely in the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current and expires in September 2020.  The kitchen has a qualified chef who has worked in the service since it opened, kitchenhands support these roles.  All staff have appropriate training and food handling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nutritional assessment which forms the basis of the long-term care plan.  Residents are encouraged to express their likes and dislikes and this information is provided to the kitchen.  There is a whiteboard where individual requirements are recorded so the information is accessible for all staff.  Special diets and individual requirements are catered for in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planned by a dietitian over four 12-week rotations.  The dietitian is available for residents’ assessments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spacious and clean and all the food was stored appropriately off the floor and dated correctly.  There is food safety information available on a noticeboard, the food control plan and kitchen manual with relevant policies and procedures available in the kitchen.  Fridge and food temperature monitoring occurs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checked when the food leaves the kitchen and when it is served.  Food is transported to the care centre to be served.  The chef serves the meals in the care centre at lunch and dinner which means she knows what the residents’ preferences are.</w:t>
            </w:r>
          </w:p>
          <w:p w:rsidR="00EB7645" w:rsidRPr="00BE00C7" w:rsidP="00BE00C7">
            <w:pPr>
              <w:pStyle w:val="OutcomeDescription"/>
              <w:spacing w:before="120" w:after="120"/>
              <w:rPr>
                <w:rFonts w:cs="Arial"/>
                <w:b w:val="0"/>
                <w:lang w:eastAsia="en-NZ"/>
              </w:rPr>
            </w:pPr>
            <w:r w:rsidRPr="00BE00C7">
              <w:rPr>
                <w:rFonts w:cs="Arial"/>
                <w:b w:val="0"/>
                <w:lang w:eastAsia="en-NZ"/>
              </w:rPr>
              <w:t>Chemicals were appropriately labelled and stored with emergency management information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the potential residents/family/whānau and the referring agency.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files that were reviewed have care needs level assessments completed by the Needs Assessment Coordination (NASC) service prior to admission.  InterRAI assessments were completed for five of the seven files (two did not require them as they were respite and palliative) and this assessment was completed six monthly or when there was a change in the resident’s condition.  Pain assessments are routinely completed post falls and wound cares.  One of the files was for a resident on ACC funding and did not require an interRAI assessment; however, an interRAI assessment had been completed and reassessments were completed six monthly since 2018.  Further to the interRAI assessment there are clinical risk assessments done at admission, six monthly and when there is a change in the resident’s condition for (but not limited to) pain, skin integrity, continence and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long-term files reviewed had long-term care plans with interventions outlining the residents’ needs.  Three residents had other types of funding, one was respite, one palliative care and one ACC.  The long-term care plan for the resident receiving palliative care was yet to be completed as they had not been in the facility for 21 days.  The resident with a respite care agreement had a short-term care plan in place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from the risk assessments are included in the interventions, any resident scoring a medium risk of pressure injuries or who have developed a stage 1 pressure injury has a pressure relieving mattress in place.  This was a new initiative as a result of the HDC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and used when the resident’s health status changes.  Short-term care plans were reviewed regularly and are signed off as the goal is resolved or it becomes part of the long-term care plan.  There is evidence of service integration in the resident’s files with treatment plans by the physiotherapist and the dietitian as well as referrals to the Palliative Care Nurse Practitioner (NP).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care plans are updated by the RN in response to a change in a resident’s health status/condition, a three-monthly review or other review by GP, NP or other health professional.  RNs interviewed could describe how they access specialist support for continence and wound management when necessary.  The sample of care plans confirmed the residents supports and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resident file provides assessment, records progress, and also has the management plan for wounds and the evaluations of wounds.  Monitoring forms are utilised with residents who have identified needs in these areas, these include (but are not limited to) pain, food, fluid, restraint, vital signs, monthly weighs.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wound summary folder where information regarding each wound is kept, enabling the CNL and RNs to have a better overview of the total number and frequency of dressings required each day.  There were five hospital and eight rest home residents with wounds.  One hospital resident has three chronic wounds and has external wound specialist input from the district health board wound specialist.  These were the service’s only chronic wounds.  The remaining wounds were two stage 1 sacral pressure injuries, two superficial skin tears and one skin lesion.  Rest home residents’ wounds included three superficial skin tears, one with an old bruise that has become a wound, one with incontinence associated dermatitis and two skin lesions.  Pressure relieving equipment was in place for residents with pressure injuries and residents who have been identified as at risk of developing a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for wound care and continence with specialist advice from the SDHB specialist staff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were satisfied their needs are being satisfactorily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permanently employed activities staff.  One is a diversional therapist trained more than 20 years ago and is currently undertaking the Diversional Therapy Careerforce programme and the other (a recreational therapist) is planning to commence the Careerforce training this year.  Each staff member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These staff work a four on four off roster over seven days and provide a programme for both rest home and hospital residents.  There is also a regular volunteer who was a former recreational therapist and now works as a volunteer.  This provides a “third pair of hands” who knows the residents well and can assist in such activities as van trips/outings.  There is a monthly planner which provides information regarding available activities which include (but are not limited to) movement to music, themed craft activities, newspaper reading which provides opportunity for reminisce.  The programme is flexible when spontaneous events of interest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a van with a wheelchair space.  New guidelines for taking residents out have been developed with a ratio of two staff to two mobile residents and one wheelchair resident.  Evaluations from these activities indicate satisfaction from residents.  There is also a non-mobile outing where residents do not get out of the van and they visit local points of interest and history.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reviewing the activities programme to be more resident focussed with the interests of the residents driving the programme.  Residents are encouraged to maintain previous interests and community links.  If they are no longer able to independently do this the staff will work hard to assist this to occur with examples given.  The apartment residents provide support to the care facility residents by undertaking activities such as entertainment afternoons and there are a number of shared activities for residents from the care facility and the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family’s interviews expressed satisfaction with the activities provided and the staff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and long-term care plans sampled evidenced evaluations within appropriate timeframes; 21 days for the initial and six monthly or earlier depending on the resident for long term.  The short-term care plans reviewed had also been evaluated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and resident input is evident in the care plans with them having opportunity to be attend or provide input to the six-monthly MDT meeting.  The utilisation of the MDT approach is demonstrated in the evaluation of care plans with feedback from GPs, physiotherapist and NP.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 and associated documentation to other health and disability services in the resident files that were reviewed.  Residents/EPOAs were involved and informed of the referral and the associated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the management of waste and hazardous substances to ensure incidents are reported in a timely manner.  Staff have adequate amounts of personal protective equipment in areas for use.  The maintenance staff uniform includes a “hi viz” vest.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safely throughout the facility.  Material safety data sheets were readily accessible for staff.  Chemical safety training has been completed by relevant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full-time maintenance person is on-call outside of business hours.  This role supervises the property and gardening staff and receives works orders from Summerset’s head office which provide the annual routine maintenance plan.  The routine maintenance plan has monthly schedules which include (but not limited to) testing and tagging of equipment, equipment checks and calibration of equipment (kitchen and medical equipment), windows, boiler checks.  Hot water temperatures have been tested and recorded monthly with readings maintained less than 45 degrees Celsius.  Reactive maintenance requests are sent in response to any issues that arise.  There are preferred contractors who are available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equipment available for staff to provide for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levels, serviced apartments on the ground floor – these are all certified for rest home care, care centre on the first floor and independent apartments on the second level.  The building is spacious, with corridors wide enough for residents/visitors to easily pass.  The external areas are well maintained with safe access to all communal areas and outdoor areas.  The outdoor balcony has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on 5 May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toilet and shower facilities are of an appropriate design to meet the needs of the residents.  The fixtures, fittings, floors and wall surfaces are constructed from materials that can be easily cleaned.  Thirty-seven resident rooms have an ensuite and six other rooms have a shared ensuite.  The palliative care room ensuite is large with enough room to use a shower trolley if required.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have been personalised and are warm and spacious.  Staff interviewed reported there is more than adequate space to use equipment required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communal areas throughout the facility including lounges (large and small) and a spacious library.  On the day of the audit there was a music group in the library.  Activities as observed on the day of the audit are held in the lounges.  The lounges are large enough so there is no impact on other residents and visitors who are not involved in activities.  Smaller lounges and family rooms are equipped with a kitchenette for residents and visitors to sit and make a cup of tea/coffee or for a smaller activity group.  The dining rooms are spacious, and residents can see the chef serve the meals which has come from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interviewed, cleaning and laundry staff demonstrated a sound understanding of infection prevention and control strategies.  Regular training is provided for staff by the chemical supplier.  Both internal and external audits (undertaken by the chemical supplier) monitor the effectiveness of laundry and cleaning processes.  There is adequate personal protective equipment available for staff to use in the laundry and when cleaning. </w:t>
            </w:r>
          </w:p>
          <w:p w:rsidR="00EB7645" w:rsidRPr="00BE00C7" w:rsidP="00BE00C7">
            <w:pPr>
              <w:pStyle w:val="OutcomeDescription"/>
              <w:spacing w:before="120" w:after="120"/>
              <w:rPr>
                <w:rFonts w:cs="Arial"/>
                <w:b w:val="0"/>
                <w:lang w:eastAsia="en-NZ"/>
              </w:rPr>
            </w:pPr>
            <w:r w:rsidRPr="00BE00C7">
              <w:rPr>
                <w:rFonts w:cs="Arial"/>
                <w:b w:val="0"/>
                <w:lang w:eastAsia="en-NZ"/>
              </w:rPr>
              <w:t>Trolleys used by cleaners are locked in a cupboard when they are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linen and personal clothing are laundered on site.  The laundry is located in the basement, there are chutes for the delivery of dirty laundry.  The laundry is well equipped with defined clean/dirty areas.  The machinery has been serviced regularly.  There are adequate policies and procedures to provide guidelines regarding the safe and efficient use of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Summerset at Bishopscourt has an approved fire evacuation plan and fire drills occur six-monthly.  There are electric and gas cooking facilities with barbeques available in the event of a power failure.  In the event of an emergency there are adequate food and water supplies.  The service has civil defence and emergency plans in place to guide staff in managing emergencies and disasters.  There are adequate civil defence supplies including equipment, food and water storage for three litres per person per day for seven days.  Civil defence supplies are checked regularly.  There are barbeques and gas bottles for alternative cooking.  A generator is available as required and there is battery backup for call bells and lights.  Call bells were evident in residents’ rooms, lounge areas and toilets/bathrooms.  Staff carry walkie-talkies and one staff member with first aid responds to village call outs, there is at least one rostered staff member on each shift with a current first aid certificate.  The mandatory in-service programme for all staff includes emergencies, first aid and cardiopulmonary resuscitation.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in residents’ rooms, lounge areas and toilets/bathrooms.  There are adequate numbers of communal/visitors’ toilets with security/privacy locks in place.  The facility is secured at night.  The village gates are locked at night with access to the emergency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heated by a gas boiler which maintains all areas at a safe and comfortable temperature.  The resident rooms and communal areas have adequate light and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(RN), who was awarded the Summerset nurse of the year award for 2019.  The infection control officer has a signed job description.  The infection control programme is linked into the quality management system and reviewed annually by the infection control quality manager at head office, in consultation with infection control officers.  The focus for 2020 is to decrease the infection rates for eye infections, respiratory infections and urine infections.  There is a monthly “zoom” meeting with the infection control quality manager and all infection control officers.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  Hand sanitisers are available throughout the facility.  There was one outbreak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Extra precautions were in place due to COVID-19 including a form for all visitors and contractors to complete regarding their present health status, posters and extra hand gels were available throughout the facility, visitors were restricted, and head office were contacting relatives to update them of current precautions and restrictions.  A good supply of personal protective equipment (PPE) was sighted.   A pandemic plan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been in the role for one year and has attended infection control training.  Extra training has been provided for resident-specific cases of hepatitis, and pseudomonas infections.  The monthly “zoom” meetings with all Summerset infection control officers includes topical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comprises of a cross section of staff from areas of the service.  The infection control team meet monthly prior to the RN meeting and provide a report to the quality improvement meeting, facility meetings and infection control quality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an infection control nurse specialist at the DHB, GPs, laboratory, pharmacy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handwashing competencies and standard precautions.  Ongoing training occurs annually as part of the training calendar set at head office.  Education for 2019 included sepsis, hand hygiene, outbreak management, wound management and signs, symptoms and management of urine infections, management of eye infections, and resident-specific training occurred as required.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across all services are completed and corrective actions are signed off (sighted).  Surveillance results are used to identify infection control activities and education needs within the facility.  Reports and graphs are displayed on the staffroom infection control noticeboard.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respiratory outbreak in 2019, which was well documented, timely notifications were made, good communication was maintained, documented and discussed at relevant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CNL is the restraint officer and has a job description which defines the responsibility of the role.  There are seven hospital level residents with restraint (bedrails) and one hospital resident with an enabler (bedrails) on the day of audit.  Voluntary consent and assessment for the resident with an enabler were up to date.  The enabler is reviewed as part of the monthly clinical meetings.  Risks associated with the use of the enabler has been identified in the care plan and monitoring has occurred at the documented frequency.  Restraint minimisation, enabler training and challenging behaviour was completed in May and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role and responsibility for the restraint coordinator is included in the restraint policy.  Registered nurses complete a restraint self-learning package on orientation and ongoing education is included in the education planner.  Care staff also complete self-learning packages.  The restraint committee (care centre manager, clinical nurse leader and the registered nurses) approve the use of restraints.  The restraint minimisation and enabler policy clearly describe responsibilities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restraint assessments in consultation with the RNs, GP and in partnership with the family/whānau.  Restraint assessments are based on information in the care plan, resident discussions and on observations of the staff.  There is a restraint assessment tool available, which is completed for residents requiring an approved restraint for safety.  Assessments reviewed for three residents on restraint and one resident with an enabler were reviewed and all were completed as required and to the level of detail required for the individual residents.  Completed assessments considered those factors listed in 2.2.2.1 (a) - (h), and the risks identified were documented in the care plans for all seven residents on restraint and one resident with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 and the facility restraint coordinator.  The risks identified were documented in the care plans for residents on restraint and the resident with an enabler.  The frequency of monitoring was documented in the care plans, monitoring forms reviewed were consistently completed in line with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by the policy review group at head office.  Restraint use in the facility is evaluated in the monthly RN team meeting and annually.  The restraint coordinator provides monthly restraint and enabler reports to the regional manager.  Internal restraint audits identify any areas for improvement.  Restraint is discussed at clinical meetings and at handovers.  There have been no incidents relating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2"/>
        <w:gridCol w:w="1280"/>
        <w:gridCol w:w="4209"/>
        <w:gridCol w:w="6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benchmarking data in 2018 and 2019 were analysed and noted to be above average.  What was concerning was that both the rest home and hospital residents’ falls were increasing, with rest home falls around 6/1,000 bed nights in April 2018, and 5/1,000 bed nights in April 2019.  Hospital falls were 6/1,000 bed nights in April 2018 and 10/1,000 bed nights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was put in place which included continuing to trend and analyse monthly data, changing of staff hours, purchasing of more equipment, dedicating staff to residents requiring rehabilitation, and improving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physiotherapist visits the facility for two hours a day across Mondays and Thursdays.  A physiotherapist assistant role was created where one caregiver works half shift caregiver and half shift as physiotherapist assistant.  This role includes exercises with residents, with regular oversight and monitoring of progress by the physiotherapist.  The staff were educated on falls minimisation, manual handling, minimising the use of restraints, challenging behaviour management, signs and symptoms of urine infections, dementia and delirium, and dehydration throughout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housekeeping role especially in the evenings while tidying the lounges etc, allows for extra monitoring of the residents.  The caregivers interviewed were knowledgeable on falls minimisation techniques and could describe an array of strategies they use to minimise falls.  The caregivers interviewed reported they are currently focusing on ensuring residents have adequate food and fluid intake and detecting early changes noted in resident condition which may prevent a fall.  </w:t>
            </w:r>
          </w:p>
          <w:p w:rsidR="00EB7645" w:rsidRPr="00BE00C7" w:rsidP="00BE00C7">
            <w:pPr>
              <w:pStyle w:val="OutcomeDescription"/>
              <w:spacing w:before="120" w:after="120"/>
              <w:rPr>
                <w:rFonts w:cs="Arial"/>
                <w:b w:val="0"/>
                <w:lang w:eastAsia="en-NZ"/>
              </w:rPr>
            </w:pPr>
            <w:r w:rsidRPr="00BE00C7">
              <w:rPr>
                <w:rFonts w:cs="Arial"/>
                <w:b w:val="0"/>
                <w:lang w:eastAsia="en-NZ"/>
              </w:rPr>
              <w:t>The data for January and February 2020 shows the falls rate for both rest home and hospital residents have fallen to 2/1,000 bed nights.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Bishopscourt</w:t>
    </w:r>
    <w:bookmarkEnd w:id="58"/>
    <w:r>
      <w:rPr>
        <w:rFonts w:cs="Arial"/>
        <w:sz w:val="16"/>
        <w:szCs w:val="20"/>
      </w:rPr>
      <w:tab/>
      <w:t xml:space="preserve">Date of Audit: </w:t>
    </w:r>
    <w:bookmarkStart w:id="59" w:name="AuditStartDate1"/>
    <w:r>
      <w:rPr>
        <w:rFonts w:cs="Arial"/>
        <w:sz w:val="16"/>
        <w:szCs w:val="20"/>
      </w:rPr>
      <w:t>17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