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Shona McFarlane Retirement Village Limited - Shona McFarlane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Shona McFarlane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Shona McFarlane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February 2020</w:t>
      </w:r>
      <w:bookmarkEnd w:id="7"/>
      <w:r w:rsidRPr="009418D4">
        <w:rPr>
          <w:rFonts w:cs="Arial"/>
        </w:rPr>
        <w:tab/>
        <w:t xml:space="preserve">End date: </w:t>
      </w:r>
      <w:bookmarkStart w:id="8" w:name="AuditEndDate"/>
      <w:r w:rsidR="00A4268A">
        <w:rPr>
          <w:rFonts w:cs="Arial"/>
        </w:rPr>
        <w:t>13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Shona McFarlane is part of the Ryman group providing care for up to 79 residents in the care centre and up to 20 residents at rest home level in serviced apartments.  On the day of audit, there were 77 residents in the care centre and two residents in the serviced apartments.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village manager has been in the current role for one and a half years.  She is supported by an assistant manager and an acting clinical manager.  The management team is supported by the Ryman management team including regional manager.</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w:t>
      </w:r>
    </w:p>
    <w:p w:rsidRPr="00A4268A">
      <w:pPr>
        <w:spacing w:before="240" w:line="276" w:lineRule="auto"/>
        <w:rPr>
          <w:rFonts w:eastAsia="Calibri"/>
        </w:rPr>
      </w:pPr>
      <w:r w:rsidRPr="00A4268A">
        <w:rPr>
          <w:rFonts w:eastAsia="Calibri"/>
        </w:rPr>
        <w:t xml:space="preserve">There were no shortfalls identified at the previous audit. </w:t>
      </w:r>
    </w:p>
    <w:p w:rsidRPr="00A4268A">
      <w:pPr>
        <w:spacing w:before="240" w:line="276" w:lineRule="auto"/>
        <w:rPr>
          <w:rFonts w:eastAsia="Calibri"/>
        </w:rPr>
      </w:pPr>
      <w:r w:rsidRPr="00A4268A">
        <w:rPr>
          <w:rFonts w:eastAsia="Calibri"/>
        </w:rPr>
        <w:t xml:space="preserve">There were two areas for improvement identified at this audit around care plan interventions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Commissioner’s (HDC) Code of Health and Disability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Ryman Shona McFarlane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initial assessments, risk assessments, development of care plans in consultation with the resident/relatives.  Care plans demonstrate service integration, are individualised and evaluated six-monthly.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 and hospital wings that ensures the abilities and recreational needs of the residents is varied, interesting and involves volunteers,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Meals are prepared on site.  The project delicious menu is designed by a dietitian at organisational level and provides meal options including gluten free and vegetarian.  Individual and special dietary needs are catered for.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were two residents using restraints and one resident with two enablers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complaints logged for 2019 and included both verbal and written complaints.  Two complaints for 2019 remain open (from December 2019).  Both are being followed up at regional manager level, family communication has been documented during this process.  There is also a health and disability complaint in progress from 2019.  This also remains open as the commissioner has not yet completed their investigation.  The service has raised a quality improvement plan (QIP) around the complaint and has undertaken an internal investigation.  All actions in the QIP have been completed (staff training as an example).  The QIP remains open until the commissioner closes the complaint. </w:t>
            </w:r>
          </w:p>
          <w:p w:rsidR="00EB7645" w:rsidRPr="00BE00C7" w:rsidP="00BE00C7">
            <w:pPr>
              <w:pStyle w:val="OutcomeDescription"/>
              <w:spacing w:before="120" w:after="120"/>
              <w:rPr>
                <w:rFonts w:cs="Arial"/>
                <w:b w:val="0"/>
                <w:lang w:eastAsia="en-NZ"/>
              </w:rPr>
            </w:pPr>
            <w:r w:rsidRPr="00BE00C7">
              <w:rPr>
                <w:rFonts w:cs="Arial"/>
                <w:b w:val="0"/>
                <w:lang w:eastAsia="en-NZ"/>
              </w:rPr>
              <w:t>Five complaints year to date for 2020 have been logged and all have been completed and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village manager, acting clinical manager, and two RNs interviewed, confirmed family are kept informed.  Relatives interviewed (two hospital and one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Shona McFarlane Retirement Village is a Ryman Healthcare facility.  The service provides care for up to 79 residents in the care centre at hospital and rest home level of care.  All 79 beds are dual-purpose.  There are also 20 serviced apartments certified to provide rest home level of care.  There were two rest home residents in the serviced apartments at the time of the audit.  On the day of audit, there were 77 residents in the care centre; 37 hospital level residents including one funded through a chronic medical illness contract and three hospital level care residents on respite care (one funded by ACC).  There were 40 rest home residents, including two rest home residents on respite care (one was a Ryman 48-hour respite person).  All other long-term residents were under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policy outlining the purpose, values and goals.  Annual objectives are defined with evidence of monthly reviews and quarterly reporting to senior managers on progress towards meeting these objectives.  Staff are kept informed of progress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this role for a year and a half.  She is supported by an experienced regional manager who works closely with the manager though face to face meetings, skype, emails and phone calls.  The service is currently recruiting for a clinical manager; at the time of audit an experienced Ryman clinical manager was supporting the service along with another clinical manager.  The manager is also supported by an assistant manager, a hospital unit coordinator, rest home acting unit coordinator (and experienced RN) and serviced apartments unit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one acting clinical manager have attended a two-day Ryman conference and leadership programme in the last year (one clinical manager is new to Ryman).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Shona McFarlane continues to implement the well-established quality and risk management system that is directed by Ryman Christchurch.  Quality and risk performance are reported across the facility meetings and to the organisation's management team.  Discussions with the management team and staff,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relative meetings are held.  Minutes are maintained with evidence of follow-up.  Annual resident and relative surveys are completed with the last survey completed in February 2019, with improvements documented form the previous year around food services.  Results are benchmarked against all Ryman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 service develops quality improvement plans where internal processes such as incident, infection control internal audit document an adverse result.   QIP are documented as followed up, reported to meeting and resolved QIPs have included falls minimisation and pressure injury management.  Six monthly trend analysis documented around falls, infection control, pressure injury and behaviours that challenge document in-depth analysis and follow-up.</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and identify trends in the data.  Results are communicated to staff across a variety of meetings and reflect actions being implemented and signed off when completed.  Interviews with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One health and safety officer was interviewed.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ten incident/accidents forms identified that all are fully completed and include follow-up by a RN.  The adverse event process documents links to the service meetings and informal meetings.  This provides the opportunity to review any incidents as they occur.  Neurological observations are completed if there is a suspected injury to the head.  The village manager was able to identify situations that would be reported to statutory authorities.  A section 31 report was sighted for an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Seven staff files reviewed (one-unit coordinator, two staff RNs, one diversional therapist, and three caregivers) included an application form and reference checks, a signed contract, a job description relevant to the role the staff member is in and completed induction checklists.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Staff training records are maintained.  The annual training programme exceeds eight hours annually.  There is an attendance register for each training session and an individual staff member record of training.  Training is provided through a variety of forums including staff and service meetings, journal club, in-service training sessions and skype.</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Journal club meetings are provided two-monthly.  Three of eleven registered nurses have completed their interRAI training.  There are implemented competencies for registered nurses and caregivers related to specialised procedures and/or treatment including medication competencies and insulin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supports the requirements of skill mix, staffing ratios and rostering.  There is a RN and first aid trained member of staff on every shift.  Caregiver’s interviewed stated that management are supportive and approachable.  Staff interviewed advised that there are sufficient staff on duty at all times.  Interviews with residents and relatives confirmed that there are sufficient staff on duty.  The village manager and acting clinical manager both work 40 hours per week.  There are 20 serviced apartments certified to provide rest home level of care.  There were two rest home level residents living in serviced apartments at the time of the audit.  The facility has two units, the Sunflower rest home and the Tulip hospital unit.  There is a full-time unit coordinator at the rest home and hospital units (acting).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Shona McFarlane is as follows; Sunflower and Tulip are staffed as one unit with staff allocated to groups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current occupancy on the day of audit was 39 at rest home level (two in the serviced apartments) and 40 at hospital level.  The staffing was as follows;</w:t>
            </w:r>
          </w:p>
          <w:p w:rsidR="00EB7645" w:rsidRPr="00BE00C7" w:rsidP="00BE00C7">
            <w:pPr>
              <w:pStyle w:val="OutcomeDescription"/>
              <w:spacing w:before="120" w:after="120"/>
              <w:rPr>
                <w:rFonts w:cs="Arial"/>
                <w:b w:val="0"/>
                <w:lang w:eastAsia="en-NZ"/>
              </w:rPr>
            </w:pPr>
            <w:r w:rsidRPr="00BE00C7">
              <w:rPr>
                <w:rFonts w:cs="Arial"/>
                <w:b w:val="0"/>
                <w:lang w:eastAsia="en-NZ"/>
              </w:rPr>
              <w:t>Three RNs in the morning for a full shift and one-half shift.  This includes the unit coordinators.  In the afternoon there are two RNs and one at night.</w:t>
            </w:r>
          </w:p>
          <w:p w:rsidR="00EB7645" w:rsidRPr="00BE00C7" w:rsidP="00BE00C7">
            <w:pPr>
              <w:pStyle w:val="OutcomeDescription"/>
              <w:spacing w:before="120" w:after="120"/>
              <w:rPr>
                <w:rFonts w:cs="Arial"/>
                <w:b w:val="0"/>
                <w:lang w:eastAsia="en-NZ"/>
              </w:rPr>
            </w:pPr>
            <w:r w:rsidRPr="00BE00C7">
              <w:rPr>
                <w:rFonts w:cs="Arial"/>
                <w:b w:val="0"/>
                <w:lang w:eastAsia="en-NZ"/>
              </w:rPr>
              <w:t>Caregivers; the AM shift and the PM shift both include six caregivers for a full shift and six for a shorter shift.  There are five caregivers on duty at night.</w:t>
            </w:r>
          </w:p>
          <w:p w:rsidR="00EB7645" w:rsidRPr="00BE00C7" w:rsidP="00BE00C7">
            <w:pPr>
              <w:pStyle w:val="OutcomeDescription"/>
              <w:spacing w:before="120" w:after="120"/>
              <w:rPr>
                <w:rFonts w:cs="Arial"/>
                <w:b w:val="0"/>
                <w:lang w:eastAsia="en-NZ"/>
              </w:rPr>
            </w:pPr>
            <w:r w:rsidRPr="00BE00C7">
              <w:rPr>
                <w:rFonts w:cs="Arial"/>
                <w:b w:val="0"/>
                <w:lang w:eastAsia="en-NZ"/>
              </w:rPr>
              <w:t>Specific staffing for the service apartments included one staff member seven days a week with the care centre staff supporting resident’s afterhours.</w:t>
            </w:r>
          </w:p>
          <w:p w:rsidR="00EB7645" w:rsidRPr="00BE00C7" w:rsidP="00BE00C7">
            <w:pPr>
              <w:pStyle w:val="OutcomeDescription"/>
              <w:spacing w:before="120" w:after="120"/>
              <w:rPr>
                <w:rFonts w:cs="Arial"/>
                <w:b w:val="0"/>
                <w:lang w:eastAsia="en-NZ"/>
              </w:rPr>
            </w:pPr>
            <w:r w:rsidRPr="00BE00C7">
              <w:rPr>
                <w:rFonts w:cs="Arial"/>
                <w:b w:val="0"/>
                <w:lang w:eastAsia="en-NZ"/>
              </w:rPr>
              <w:t>There is also an additional fluid nurse on duty in the morning shift and one lounge carer on duty in the afternoon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a central medication room for the rest home/hospital and serviced apartment residents.  Registered nurses and senior caregiver’s complete annual medication competencies and education.  Registered nurses complete syringe driver training.  Medication reconciliation of monthly blister packs is checked by an RN with the signature on the back of the blister pack.  Any errors are fed back to the pharmacy.  There is one rest home resident self-medicating with a self-medicating assessment in place.  The medications are kept in a locked drawer in the resident’s room.  The medication fridge temperatures and medication room air temperatures are taken and recorded daily with both temperatures within an acceptable range.  All eye drops were dated on opening.  There is a bulk supply stock for hospital residents which is checked weekly for stock levels and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Twelve medication charts were reviewed (six hospital and six rest home).  All medication charts had photographs, allergies documented and had been reviewed at least three-monthly by the GP (for permanent residents).  Records demonstrated that regular medications are administered as prescribed.  ‘As required’ medications had the indication for use documented.  The effectiveness of ‘as required’ medications was recorded in the electronic medication system, however there was no evidence of administration of ‘as required’ oxygen for one resident receiving oxygen.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The qualified head chef is supported by another chef on duty daily, a cook’s assistant and morning and afternoon kitchen assistants on duty daily.  Food services staff have been trained in food safety and chemical safety.  Project “delicious” is a four weekly seasonal menu with three menu choices for the midday meal and two choices for the evening meal, including a vegetarian option.  The seasonal menu has been designed in consultation with the dietitian at an organisational level.  Resident dislikes are accommodated and cultural and religious values.  The cook receives a resident dietary profile for all new admissions and is notified of any dietary changes.  Gluten free diets and pureed meals are provided.  Pure foods are used to increase the nutritional value for pureed meals and other foods groups identified such as soups.  The meals are served from a bain marie in the kitchen to residents in the adjoining dining room.  Meals are delivered in hot boxes and served by care staff in the hospital wing and serviced apartment dining room.  The chef and assistant cook rotate through the areas to assist with serving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food control plan that has been verified and expires July 2020.  Fridges, freezer and chiller temperatures, end cooked temperatures and cooling temperatures are taken and recorded daily.  The chilled goods temperature is checked on delivery.  Twice daily serving temperatures are taken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The care plans did not reflect the resident’s current health status.  Required health monitoring interventions for individual residents are set on the RN or caregiver work log, however there were shortfalls around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13 residents with wounds (eight rest home and five hospital level).  Wound assessments and management plans are completed on myRyman.  When wounds are due to be dressed, a task is automated on the RN daily schedule.  Wound care documentation was complete for two hospital residents with community acquired pressure injuries (one stage one and one unstageable) and two rest home residents with facility stage two pressure injuries of the toes.  A section 31 was sighted for the unstageable pressure injury.  An RN is the wound champion and reviews all complex and non-healing wounds.  There is access to a wound nurse specialist at the DHB as required.  There are adequate pressure relieving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set up on the electronic work log and include blood pressure, weight, blood sugar levels, pain, behaviour, food and fluids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qualified diversional therapists with one based in the rest home wing and the other in the hospital wing from Monday to Friday.  An activity assistant is employed form 1 – 4 pm Monday to Thursday and focuses on one-on-one activities with residents who choose not to be involved or unable to participate in the activity programme.  There is a lounge carer in the hospital for evening activities and one-on-one time with residents.  A weekend activity person has been recently employed for the weekends across the 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 exercises, board games, news and views, poets corner, memory lane, gardening, baking, men’s group, sensory activities including pet therapy, themed events and celebrations.  Rest home residents in serviced apartments can attend either the serviced apartment or rest home/hospital programmes.  Some activities are integrated for all residents including entertainment.  A qualified music therapist visits weekly and spends time with a group of hospital residents with cognitive loss around music appreciation and music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involvement includes entertainers, speakers, pre-school children, cultural groups, volunteers (town house residents and Age Concern) and regular church services.  There are regular van outings and drives to places of interest and community events.  A mobility taxi is hired for hospital level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in the paper-based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identified that long-term care plans had been evaluated by registered nurses regularly and at least six-monthly.  Written evaluations for long-term residents describe the resident’s progress against the residents identified goals and any changes are updated on the care plan.  A number of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multidisciplinary (MDT) review completed that includes the primary RN, caregivers, DT, physiotherapist, resident, relative and any other health professionals involved in the resident’s care.  Records of the MDT review were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 May 2020.  The service has serviced apartments and the care centre on the ground floor and independent apartments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reactive maintenance and planned maintenance schedule is maintained.  There is a 12-monthly planned maintenance schedule in place that includes the calibration of medical equipment, functional testing of electric beds and hoists and electrical testing.  Hot water temperatures in resident areas are monitored three monthly as part of the environmental audit and are stable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rest home and hospital wings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the outdoor gardens and courtyards safely from both wings.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and are displayed on the staff noticeboard.  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There was a gastro enteritis outbreak February 2019 which was well managed and appropriately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two residents using restraints (bedrails and lap belt)  and one resident using a bedrail enabler.  The resident file for the resident using restraint (bed rail and lap belt) reflects a restraint/enabler assessment and consent.  Staff training has been provided around restraint minimisation and enablers, falls prevention,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66"/>
        <w:gridCol w:w="1280"/>
        <w:gridCol w:w="4662"/>
        <w:gridCol w:w="2649"/>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for the charting and administration of regular and ‘as required’ medications.  Indications for use of ‘as required’ medications was prescribed on the medication charts.  Eleven of 12 medication charts evidenced ‘as required’ medications had been administered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was prescribed oxygen and this had been given as required, however there was no evidence of this being administered on the signing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administration of oxygen is signed as given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care plans reflected all the resident’s current health status.  Not all required monitoring requirements had been implemented.  The risk is considered to be low as corrective actions were completed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under the Chronic Medical Illness contract did not have the use of oxygen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falls risk assessment had not been reviewed post two falls and the falls prevention strategies in the care plan did not reflect the high falls risk (reviewed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Post falls intentional rounding had not been commenced for another hospital resident post falls. </w:t>
            </w:r>
          </w:p>
          <w:p w:rsidR="00EB7645" w:rsidRPr="00BE00C7" w:rsidP="00BE00C7">
            <w:pPr>
              <w:pStyle w:val="OutcomeDescription"/>
              <w:spacing w:before="120" w:after="120"/>
              <w:rPr>
                <w:rFonts w:cs="Arial"/>
                <w:b w:val="0"/>
                <w:lang w:eastAsia="en-NZ"/>
              </w:rPr>
            </w:pPr>
            <w:r w:rsidRPr="00BE00C7">
              <w:rPr>
                <w:rFonts w:cs="Arial"/>
                <w:b w:val="0"/>
                <w:lang w:eastAsia="en-NZ"/>
              </w:rPr>
              <w:t>(iv)  Repositioning was not consistently recorded for one hospital respite resident under ACC.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(ii) Ensure care plans reflect the resident current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 (iv) Ensure monitoring is implemented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Shona McFarlane Retirement Village Limited - Shona McFarlane Retirement Village</w:t>
    </w:r>
    <w:bookmarkEnd w:id="58"/>
    <w:r>
      <w:rPr>
        <w:rFonts w:cs="Arial"/>
        <w:sz w:val="16"/>
        <w:szCs w:val="20"/>
      </w:rPr>
      <w:tab/>
      <w:t xml:space="preserve">Date of Audit: </w:t>
    </w:r>
    <w:bookmarkStart w:id="59" w:name="AuditStartDate1"/>
    <w:r>
      <w:rPr>
        <w:rFonts w:cs="Arial"/>
        <w:sz w:val="16"/>
        <w:szCs w:val="20"/>
      </w:rPr>
      <w:t>12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