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ERH Care Limited - The Greenwood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ERH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Greenwood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February 2020</w:t>
      </w:r>
      <w:bookmarkEnd w:id="7"/>
      <w:r w:rsidRPr="009418D4">
        <w:rPr>
          <w:rFonts w:cs="Arial"/>
        </w:rPr>
        <w:tab/>
        <w:t xml:space="preserve">End date: </w:t>
      </w:r>
      <w:bookmarkStart w:id="8" w:name="AuditEndDate"/>
      <w:r w:rsidR="00A4268A">
        <w:rPr>
          <w:rFonts w:cs="Arial"/>
        </w:rPr>
        <w:t>10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Greenwood Rest Home provides rest home level care for up to 26 residents.  On the day of audit, there were two residents at rest home level of care, and 14 private boarders.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files, observations, and an interview with one resident, management, staff and a general practitioner.</w:t>
      </w:r>
    </w:p>
    <w:p w:rsidRPr="00A4268A">
      <w:pPr>
        <w:spacing w:before="240" w:line="276" w:lineRule="auto"/>
        <w:rPr>
          <w:rFonts w:eastAsia="Calibri"/>
        </w:rPr>
      </w:pPr>
      <w:r w:rsidRPr="00A4268A">
        <w:rPr>
          <w:rFonts w:eastAsia="Calibri"/>
        </w:rPr>
        <w:t xml:space="preserve">The owner/manager was unavailable.  The clinical coordinator/registered nurse is appropriately qualified and experienced.  There are established quality systems and processes.  Feedback from one resident and the general practitioner was very positive about the care and services provided.  </w:t>
      </w:r>
    </w:p>
    <w:p w:rsidRPr="00A4268A">
      <w:pPr>
        <w:spacing w:before="240" w:line="276" w:lineRule="auto"/>
        <w:rPr>
          <w:rFonts w:eastAsia="Calibri"/>
        </w:rPr>
      </w:pPr>
      <w:r w:rsidRPr="00A4268A">
        <w:rPr>
          <w:rFonts w:eastAsia="Calibri"/>
        </w:rPr>
        <w:t>This certification audit identified that improvements are required in relation to professional development; document control; staff files; timeliness of interRAI assessments and long-term care plan evaluations; care interventions; and first aid/CPR training for staff.</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Greenwood Rest Home provides care in a way that focuses on the individual resident.  Cultural and spiritual assessment is undertaken on admission.  Information about services provided is readily available to residents and families/whānau.  The Health and Disability Commissioner (HDC)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business plan describes the facility’s goals and objectives.  Policies and procedures are established.  Quality data is collected and collated.  A system for the documentation of adverse, unplanned and untoward events is established.  There is an implemented health and safety programme.  There are human resources policies including recruitment, job descriptions, selection, orientation and staff training and development.  The service has an orientation programme that is designed to provide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clinical coordinator is responsible for service provision.  The resident’s plans are developed with the resident and/or family/whānau input.  Resident files included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are implemented.  The registered nurse and healthcare assistants (HCAs) responsible for the administration of medicines complete medication competencies.  Medication charts are reviewed three-monthly by the general practitioner.</w:t>
      </w:r>
    </w:p>
    <w:p w:rsidRPr="00A4268A" w:rsidP="00621629">
      <w:pPr>
        <w:spacing w:before="240" w:line="276" w:lineRule="auto"/>
        <w:rPr>
          <w:rFonts w:eastAsia="Calibri"/>
        </w:rPr>
      </w:pPr>
      <w:r w:rsidRPr="00A4268A">
        <w:rPr>
          <w:rFonts w:eastAsia="Calibri"/>
        </w:rPr>
        <w:t xml:space="preserve">The activity programme is coordinated and implemented by the clinical coordinator and HCA on morning duty.  The activity programme includes tai chi, exercises, entertainers, outings and celebrations.  </w:t>
      </w:r>
    </w:p>
    <w:p w:rsidRPr="00A4268A" w:rsidP="00621629">
      <w:pPr>
        <w:spacing w:before="240" w:line="276" w:lineRule="auto"/>
        <w:rPr>
          <w:rFonts w:eastAsia="Calibri"/>
        </w:rPr>
      </w:pPr>
      <w:r w:rsidRPr="00A4268A">
        <w:rPr>
          <w:rFonts w:eastAsia="Calibri"/>
        </w:rPr>
        <w:t xml:space="preserve">All meals are cooked on site.  The menu has been reviewed by a dietitian.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Six residents’ rooms have toilet ensuites and there are sufficient communal showers/toilets for the others.  Access to external areas are safe and provide shade and seating.  Cleaning and laundry services are monitored through the internal auditing system. </w:t>
      </w:r>
    </w:p>
    <w:p w:rsidRPr="00A4268A">
      <w:pPr>
        <w:spacing w:before="240" w:line="276" w:lineRule="auto"/>
        <w:rPr>
          <w:rFonts w:eastAsia="Calibri"/>
        </w:rPr>
      </w:pPr>
      <w:r w:rsidRPr="00A4268A">
        <w:rPr>
          <w:rFonts w:eastAsia="Calibri"/>
        </w:rPr>
        <w:t xml:space="preserve">Appropriate training, information and equipment for responding to civil and pandemic emergencies are provided.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approved restraints and enablers.  The clinical coordinator is the restraint coordinator.  Staff receive regular education and training on restraint minimisation.  At the time of the audit there were no residents who required either a restraint or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38"/>
        <w:gridCol w:w="1280"/>
        <w:gridCol w:w="88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is being implemented at this rest home level aged care facility.  Staff interviewed (one clinical coordinator/registered nurse (RN), one healthcare assistant (HCA), one cleaner/laundry, one cook) could provide examples of how the Code is incorporated into their job role and responsibilities.  Staff receive training about the Code during their induction to the service.  This training continues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policies and procedures around informed consent and advanced directives (link 1.2.3.4).  There are signed general consents for release of information, outings and photographs in two of two rest home files reviewed.  The general practitioner assesses the resident’s competency to make a resuscitation status.  Resuscitation and advance directives were appropriately signed.  Discussions with the clinical coordinator and one HCA confirmed that they were familiar with the requirements to obtain informed consent before entering rooms and for personal cares.  Both resident files had a copy of their enduring power of attorney.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brochures are included in the information provided to new residents and their family/whānau during their entry to the service.  The resident interviewed was aware of the role of advocacy services and their right to access support.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Residents may have visitors of their choice at any time.  Assistance is provided by the care staff to ensure that the residents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that aligns with Right 10 of the Code (link 1.2.3.4).  A complaints register is maintained.  Concerns/complaints are discussed during the staff meeting as sighted in the meeting minutes (link 1.2.3.6).  Complaints forms are visible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since the previous audit (6 March 2019).  The resident interviewed was aware of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during their entry to the service.  The clinical coordinator discusses aspects of the Code with residents and their family on admission.  One resident interviewed reported that their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 care staff interviewed (one clinical coordinator, one HCA) reported that they knock on bedroom doors prior to entering rooms and promote the residents' independence by encouraging them to be as active as possible.  The resident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There are policies and guidelines to assist staff in the delivery of culturally safe care for Māori (link 1.2.3.4).  The service has access to cultural advisors through the DHB.  There was one resident who identified as Māori.  She confirmed during an interview that her values and beliefs are upheld by the service.  She enjoys speaking te reo Māori with others.  Her file was reviewed.  A Māori assessment was completed that lists the resident’s iwi and links their values and beliefs to the four cornerstones of health.  Special instructions are documented in relation to tangihanga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culture, values and beliefs at the time of admission.  This is achieved in consultation with the resident, whānau/family and/or their representative.  Beliefs and values were incorporated into the residents’ care plans in resident files reviewed.  Residents interviewed confirmed they were involved in developing the resident plan of care, which includes the identification of individual values and beliefs.  One resident identifies as Indian and speaks Hindi with staff.  Indian food is offered and a friend also brings in food for this resident.  He was unable to be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HCAs role and responsibilities.  Professional boundaries are reconfirmed through education and training sessions and performance management if there is infringement with the person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Examples of good practice were evident during the audit.  The clinical coordinator is on site a minimum of 40 hours per week and is on call when not available on site.  She is supported by a second RN that is available in her absence.  The resident interviewed reported that they are very satisfied with the services received.  A resident/family satisfaction survey was completed in September 2019.  There is a policy to guide staff on the process around open disclosure (link 1.2.3.4).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confirmed the admission process and agreement was discussed with them and they were provided with adequate information on entry.  Discussions and notifications with relatives are recorded on the communication page in the resident file.  Five incident forms reviewed (2018) identified family were notified following a resident incident.  The clinical coordinator interviewed confirmed family are kept informed (eg, incident/accident, doctor visit, change in resident’s state of health).  Two responses were returned (one resident, one relative) and were very positive.  Interviews with staff confirmed that the teamwork amongst staff is very good.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(link 1.2.3.4).  Residents interviewed confirmed the admission process and agreement was discussed with them and they were provided with adequate information on entry.  Discussions and notifications with relatives are recorded on the communication page in the resident file.  Five incident forms reviewed (2018) identified family were notified following a resident incident.  The clinical coordinator interviewed confirmed family are kept informed (eg, incident/accident, doctor visit, change in resident’s state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Greenwood Lodge provides care for up to 26 rest home level residents and 16 residents were living at the facility at the time of the audit.  There were two rest home level residents at the time of the audit.  Both residents were under the aged residential care services contract (ARCC).  An additional 14 boarders were living at the facility with funding arrangements through Work and Income New Zealand (WINZ).  These boarders do not receive cares.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manager/owner was the director of this facility for three years prior to purchasing it in 2019.  He was unavailable during the audit due to being in quarantine (potential exposure to Coronavirus).  A 2019 business plan has been implemented that includes a mission, philosophy, and nursing objectives.  This business plan is regularly reviewed by the owner and clinical coordinator.</w:t>
            </w:r>
          </w:p>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has attended a minimum of eight hours of professional development over the past year relating to her respective role and responsibilities.  This was unable to be confirmed for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is responsible for business operations during the absence of the owner/manager.  An RN from another Auckland based rest home with the same ownership is responsible for clinical operations in the absence of the clinical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and quality and risk policies describe quality improvement processes.  These documents are overdue for review.</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include internal audits, incident and accident reporting, health and safety reporting, infection control data, surveys and complaints management.  Data that is collected is evaluated.  Corrective actions are documented and implemented where improvements are identified.  Information was shared in staff meetings until September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manual was last updated in November 2019.  The owner/manager is the health and safety officer.  Health and safety is discussed at orientation (link 1.2.7.3) and staff meetings.  Staff report hazards and a hazard register is maintained (reviewed 8 November 2019).  Actual and potential risks are documented on the current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and the development of specific falls management plans are in place to meet the needs of individual residents who are at risk of falling.  Strategies implemented to reduce the number of falls for residents at risk include regular toileting, intentional rounding and sensor mats.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that includes definitions and outlines responsibilities (link 1.2.3.4).  Individual reports are completed for each incident/accident with immediate action noted including any follow up action(s) required.  Incident/accident data is linked to the organisation's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No accidents or incidents have been reported in 2019 or 2020 (year to date).  Five incident/accident forms were reviewed for 2018 (three falls, one bruise and one skin tear) and all were completed in full with evidence of appropriate follow-up action(s) 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reported that they are aware of their responsibility to notify relevant authorities in relation to essential notifications.  No section 31 notification forms have been required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to support recruitment practices.  Staff files are held in a locked area and were not able to be accessed due to the owner/manager not being available.  A copy of an employment agreement and the new staff orientation package were sighted.  The service has an orientation programme in place that provides new staff with relevant information for safe work practice (confirmed during interviews with the staff).  Staff interviewed believed new staff were adequately orientated to the service on employment.  Current practising certificates were sighted for the clinical coordinator, general practitioner, and pharmacy.  </w:t>
            </w:r>
          </w:p>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covering the relevant requirements is implemented and attendance records are maintained.  There is an in-service topic each month.  Staff also attend the ADHB training day on offer (three staff attended on 13 Feb 2019).  The clinical coordinator completes competencies relevant to her role including medication competencies.  She has not attended interRAI training yet (link 1.3.3.3).  Since the draft report a new RN has been employed that is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16 residents.  Only two residents living in the care facility were rest home level and the remaining 14 residents were boarders who do not receive cares.  RN cover is provided by the clinical coordinator 40 hours per week which includes two-night shifts.  The clinical coordinator is on call when not available on site.  RN hours are documented on the staff roster.</w:t>
            </w:r>
          </w:p>
          <w:p w:rsidR="00EB7645" w:rsidRPr="00BE00C7" w:rsidP="00BE00C7">
            <w:pPr>
              <w:pStyle w:val="OutcomeDescription"/>
              <w:spacing w:before="120" w:after="120"/>
              <w:rPr>
                <w:rFonts w:cs="Arial"/>
                <w:b w:val="0"/>
                <w:lang w:eastAsia="en-NZ"/>
              </w:rPr>
            </w:pPr>
            <w:r w:rsidRPr="00BE00C7">
              <w:rPr>
                <w:rFonts w:cs="Arial"/>
                <w:b w:val="0"/>
                <w:lang w:eastAsia="en-NZ"/>
              </w:rPr>
              <w:t>One HCA is responsible for the two rest home level residents 24 hours a day, seven days a week.  Shifts vary from 8-hour shifts to 12-hour shifts.  There are separate cleaning/laundry staff rostered seven days a week (0800 – 1300).  The owner/manager is responsible for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 and one resident interviewed informed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Archived records are kept secure.  Residents’ files demonstrated service integration.  Entries were legible, dated, timed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ARCC contract.  Exclusions from the service are included in the admission agreement.  Both rest home residents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All relevant information is documented and communicated to the receiving health provider or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 clinical coordinator and medication competent HCAs had completed medication competencies.  The service uses an electronic medication system.  Regular medications are received in robotic rolls and checked against the electronic medication chart which identified the pack had been checked in.  ‘As required’ medications in blister packs are checked weekly for stock levels and expiry.  There are no standing orders.  There were no self-medicating residents.  There were no eye drops in use.  There were no restricted medications on site.  Medications are stored in a separate container in the kitchen fridge which is monitored daily for temperatures and these were within the acceptable range for the storage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rest home mediation charts were reviewed on the electronic system.  Photo ID and allergy status are recorded.  Medication charts are reviewed at least three-monthly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cook from 0800 to 1600 seven days a week.  There is a four-week seasonal menu in place which has been reviewed by a dietitian (May 2019).  The residents have a nutritional profile developed on admission which identifies dietary requirements and likes and dislikes.  Dietary requests are accommodated.  Cultural requirements are met such as Indian food.  A vegetarian diet is provided for one resident.  Foods are delivered on the meal trolley to the dining room where the meals are served.  There are gas and electric cooking appliances.  All foods were date labelled.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June 2020.  The cook has completed food safety and hygiene training.  Kitchen fridge and freezer temperatures are monitored and recorded daily.  End cooked food temperatures are taken and recorded at all meals.  The dishwasher is checked for effectiveness by the chemical provider.  There are completed cleaning schedules.  There are insect screens on the windows.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interviewed was happy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is gathered during admission in consultation with the resident and their relative where appropriate.  Files contained appropriate assessment tools and first interRAI assessments for the two long-term residents; however, six-monthly routine assessments have not been completed (link 1.3.3.3).  Care plans reviewed have been developed on the basis of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individually developed with the resident, and family involvement is evidenced by the signature on the care plan.  The clinical coordinator is responsible for all aspects of care planning.  One of two care plans did not include specific interventions for identified medical and clinical needs.  Assessments and care plans include input from allied health including the GP, medical specialist and podiatry.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clinical coordinator initiates a GP consultation.  Care staff stated that they notify family members about any changes in their relative’s health status.  Discussions and notifications with relatives are recorded on the communication page in the resident file.  There are short-term care plans in place for short-term needs which are reviewed by the clinical coordinator and are either resolved or added to the long-term care plan as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There were no wounds on the day of audit.  The clinical coordinator advised wound care is undertaken by the HCA who reports to the clinical coordinator if there are any issues identified.  The facility has access to wound care specialist advice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blood pressure, vital signs and bowel monitoring.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of morning and afternoon activities for the two rest home residents and all independent residents (boarders).  Activities are coordinated and delivered by the senior HCA on duty and the clinical coordinator Monday to Saturday.  Some activities are resident led such as piano playing by an independent resident.   Exercises are scheduled daily and there is Tai Chi weekly, taken by members of the Chinese community group.  Other activities include newspaper reading, games, quizzes, sing-a-longs, videos and supervised walks.  There are weekly church services and the denominations rotate.  An entertainer visits monthly and brings in his dog for pet therapy.  The library service visits and a hairdresser visits fortnightly.  The facility has a separate TV lounge and larger lounge for entertainment and other gatherings.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shares a van with a “sister” facility for weekly bus outings to places of interest.  Special events like birthdays, Easter, Mothers’ Day and Anzac Day are celebrated.</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Activity plans are in place for the two rest home residents however these have not been evaluated at least six monthly (link 1.3.3.3).  The resident interviewed was happy with the activities and outings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long-term care plans reviewed had been developed by the clinical coordinator, however these had not been evaluated six-monthly (link 1.3.3.3) or when changes to care occurs.  Short-term care plans for short-term needs are evaluated and signed off as resolved or added to the long-term care plan as an ongoing problem.  Activity plans are in place for each resident and these had not been evaluated six-monthly.  The multidisciplinary review involves the clinical coordinator, GP and resident/family if they wish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Discussion with the clinical coordinator and GP confirmed that the service has access to a wide range of support either through the specialists or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Management of waste and hazardous substances is covered during orientation and staff have attended chemical safety training.  All chemicals are clearly labelled with manufacturer’s labels and stored in locked areas.  Safety data sheets and product sheets are available.  The hazard register identifies hazardous substances and staff indicated a clear understanding of processes and protocols.  There is sluice tub in the laundry if required.  Gloves, aprons and goggles are available for staff.  The cleaner/laundry staff member was observed to be wearing appropriate personal protective clothing when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that expires 30 September 2020.  The owner oversees the maintenance programme.  There is a maintenance request book in place (sighted) with requests for repairs which had been signed off when completed.  There is a planned maintenance schedule in place.  Electrical equipment has been tested and tagged.  Clinical equipment has been calibrated including the blood pressure machine and chair scales.  Hot water temperatures have been monitored in resident areas and are within the acceptable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moving freely around the areas with mobility aids where required.  The corridors are wide and there are handrails in place.  There is safe access to the external areas with outdoor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and HCA interviewed stated they have sufficient equipment to carry out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occupancy.  All bedrooms but four have hand basins.  There are six resident rooms with a toilet ensuite.  There are adequate numbers of communal toilets and showers for residents.  There is appropriate signage and the fixtures and handrails appropriately placed.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spacious enough for residents to mobilise around with walking aids.  Residents are encouraged to personalise their 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Activities/entertainment occurs in the larger lounge and the smaller areas are spaces where residents who prefer quieter activities or visitors may sit.  One TV lounge has seating arranged to allow small group or individual activities.  Some lounges open out onto attractive courtyard areas.  There is a separate dining room.  There is safe access to the external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cleaning are undertaken by a designated person from 0800 to 1300, seven days a week.  The laundry is located downstairs.  There is a defined clean/dirty area that could be described by the cleaner/laundry person interviewed.  The commercial laundry equipment is serviced regularly by staff.  Cleaning and laundry services are monitored through the internal auditing system.  The cleaners’ equipment was attended at all times or safely stored in a locked room when not in use.  There is a chemical dispenser for the chemicals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disaster policies and procedures are documented for the service.  The orientation programme and annual education/training programme include fire, emergency management and security training.  Staff interviewed confirmed their understanding of emergency procedures.  There is an approved fire evacuation plan.  Fire drills occur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civil defence supplies which are checked annually.  The kitchen has gas and electric cooking and there is a gas BBQ available for alternate cooking.  There is two-hour battery backup for emergency lighting.  The facility is secure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Missing was documented evidence to confirm that there is one staff member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Individual wall heaters are in resident rooms.  There is underfloor heating in all communal areas.  The communal areas were well ventilated throughout the audit.  The facility has a small outside smoking area by the garden 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clinical coordinator/RN who has been in the role for one year.  The infection control coordinator (ICC) oversees infection control for the facility and is responsible for the collation of infection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was reviewed in October 2019.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There are sufficient supplies of personal protective equipment and a pandemic kit available.  The residents are offered influenza vaccinations.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attended a study day at the DHB for infection control that covered standard precautions, personal protective clothing, isolation and cleaning procedures.  The infection control coordinator has access to the GP, local laboratory, the infection control nurse specialist at Greenlane hospital, public health department and an aged care consultant for advice or support for infection control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policies and procedures have been developed by an aged care consultant and regularly reviewed.  Policies include defining roles and responsibilities for the prevention of infection, training and education of staff.  Infection control procedures developed in respect of the kitchen, laundry and housekeeping incorporate the principles of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relevant training and is responsible for coordinating/providing education and training to staff.  Education is provided annually (March 2019).  Hand washing competencies are completed on orientation and are ongoing.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reports are completed for all infections.  Graphs of infection events are provided.  Definitions of infections are in place appropriate to the complexity of service provided.  There is discussion around infection control data, trends or analysis and graphs are produced for staff information.  There is close liaison with the GP that advises and provides feedback/information to the service.  A monthly report is provided from the laboratory.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that states the organisations philosophy to restraint minimisation (link 1.2.3.4).  The restraint coordinator is the clinical coordinator.   There were no residents using restraints or enablers.  The orientation and staff education programme includes training on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4"/>
        <w:gridCol w:w="1280"/>
        <w:gridCol w:w="5180"/>
        <w:gridCol w:w="2754"/>
        <w:gridCol w:w="1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was not available during this audit and therefore his professional development relating to managing an aged care facility over the past 12 months was not able to be verified.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was unable to be sighted to confirm that the owner/manager has attended a minimum of eight hours of professional development relating to managing an aged care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owner/manager attends a minimum of eight hours annually of professional development relating to managing an aged care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 control system, as stated in policy, has not been implemented and the quality and risk plans have not been updated since December 2016.  The facility signage and policies/procedures reflect the facility’s previous name.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Policies and procedures were last reviewed either in March or June 2018 (prior to the new ownership) and are stated in policy that they will be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(ii)  The quality and risk plan was last reviewed in December 2016.</w:t>
            </w:r>
          </w:p>
          <w:p w:rsidR="00EB7645" w:rsidRPr="00BE00C7" w:rsidP="00BE00C7">
            <w:pPr>
              <w:pStyle w:val="OutcomeDescription"/>
              <w:spacing w:before="120" w:after="120"/>
              <w:rPr>
                <w:rFonts w:cs="Arial"/>
                <w:b w:val="0"/>
                <w:lang w:eastAsia="en-NZ"/>
              </w:rPr>
            </w:pPr>
            <w:r w:rsidRPr="00BE00C7">
              <w:rPr>
                <w:rFonts w:cs="Arial"/>
                <w:b w:val="0"/>
                <w:lang w:eastAsia="en-NZ"/>
              </w:rPr>
              <w:t>(iii)  Policies, procedures and signage around the facility reflect the facility’s previous name and have not been updated to reflect Greenwood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policies/procedures are reviewed in line with the document control schedule.</w:t>
            </w:r>
          </w:p>
          <w:p w:rsidR="00EB7645" w:rsidRPr="00BE00C7" w:rsidP="00BE00C7">
            <w:pPr>
              <w:pStyle w:val="OutcomeDescription"/>
              <w:spacing w:before="120" w:after="120"/>
              <w:rPr>
                <w:rFonts w:cs="Arial"/>
                <w:b w:val="0"/>
                <w:lang w:eastAsia="en-NZ"/>
              </w:rPr>
            </w:pPr>
            <w:r w:rsidRPr="00BE00C7">
              <w:rPr>
                <w:rFonts w:cs="Arial"/>
                <w:b w:val="0"/>
                <w:lang w:eastAsia="en-NZ"/>
              </w:rPr>
              <w:t>(ii)  Ensure the quality and risk plan is reviewed/updated annually.</w:t>
            </w:r>
          </w:p>
          <w:p w:rsidR="00EB7645" w:rsidRPr="00BE00C7" w:rsidP="00BE00C7">
            <w:pPr>
              <w:pStyle w:val="OutcomeDescription"/>
              <w:spacing w:before="120" w:after="120"/>
              <w:rPr>
                <w:rFonts w:cs="Arial"/>
                <w:b w:val="0"/>
                <w:lang w:eastAsia="en-NZ"/>
              </w:rPr>
            </w:pPr>
            <w:r w:rsidRPr="00BE00C7">
              <w:rPr>
                <w:rFonts w:cs="Arial"/>
                <w:b w:val="0"/>
                <w:lang w:eastAsia="en-NZ"/>
              </w:rPr>
              <w:t>(iii) Ensure policies, procedures and signage reflect the current name of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were not available for reviewing during the audit.  The clinical coordinator stated that files contain signed employment agreements, evidence of reference checking and police vetting, an applicable job description, performance appraisals and evidence of a completed orientation programme.  The interRAI trained RN left in July 2019 and the clinical coordinator is not currently interRAI trained.  Since the draft report a new RN has been employed that is interRAI trained.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owner/manager being quarantined, staff files were in a locked area and were not available for sighting.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files are made available on request.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completes the initial assessments and support plans within 24 hours of admission.  Long-term care plans were completed within 21 days of admission in the two files reviewed.  InterRAI assessments had been completed, but not six monthly as required.  The care plans had not been evaluated six monthly.  Activity plans were in place, however these had not been evaluated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two files reviewed did not have routine interRAI assessments completed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(ii)   Two of two files reviewed did not have the care plans evaluated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of two files did not have activity plans evaluated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interRAI assessments are completed six monthly or sooner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and (iii) Ensure the long-term care plans and the activity plans are evaluated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were documented by the clinical coordinator.  The clinical coordinator and HCA were knowledgeable about the individual resident care needs.  The care plans documented the resident supports, however not all interventions were documented to guide care staff for medical conditions and clinical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file did not reflect the risk and interventions needed for seizures.  The same resident did not have any early warning signs and symptoms for a psychiatric illness and there were no interventions documented for unintentional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care plan has interventions and care documented for all resident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sighted did not evidence that there is a first aid/CPR trained staff available 24/7.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held on site does not support evidence that there is a minimum of one first aid trained staff on site twenty-four hours a day, seven days a week.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minimum of one first aid trained staff available 24 hours a day, seven days a week.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ERH Care Limited - The Greenwood Home</w:t>
    </w:r>
    <w:bookmarkEnd w:id="58"/>
    <w:r>
      <w:rPr>
        <w:rFonts w:cs="Arial"/>
        <w:sz w:val="16"/>
        <w:szCs w:val="20"/>
      </w:rPr>
      <w:tab/>
      <w:t xml:space="preserve">Date of Audit: </w:t>
    </w:r>
    <w:bookmarkStart w:id="59" w:name="AuditStartDate1"/>
    <w:r>
      <w:rPr>
        <w:rFonts w:cs="Arial"/>
        <w:sz w:val="16"/>
        <w:szCs w:val="20"/>
      </w:rPr>
      <w:t>10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