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Gladys Mary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Gladys Mary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2020</w:t>
      </w:r>
      <w:bookmarkEnd w:id="7"/>
      <w:r w:rsidRPr="009418D4">
        <w:rPr>
          <w:rFonts w:cs="Arial"/>
        </w:rPr>
        <w:tab/>
        <w:t xml:space="preserve">End date: </w:t>
      </w:r>
      <w:bookmarkStart w:id="8" w:name="AuditEndDate"/>
      <w:r w:rsidR="00A4268A">
        <w:rPr>
          <w:rFonts w:cs="Arial"/>
        </w:rPr>
        <w:t>23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rest home resident room was assessed as suitable for a double room.  This increases the available beds in the rest home from 23 to 24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Gladys Mary Rest Home is part of the Bupa group.  The service is certified to provide rest home, and dementia level care for up to 39 residents.  There were 36 residents on the day of audit.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and the general practitioner.  A rest home room was also verified at this audit as being suitable to be used as a double room (for couples), thus increasing total bed numbers to 39.</w:t>
      </w:r>
    </w:p>
    <w:p w:rsidRPr="00A4268A">
      <w:pPr>
        <w:spacing w:before="240" w:line="276" w:lineRule="auto"/>
        <w:rPr>
          <w:rFonts w:eastAsia="Calibri"/>
        </w:rPr>
      </w:pPr>
      <w:r w:rsidRPr="00A4268A">
        <w:rPr>
          <w:rFonts w:eastAsia="Calibri"/>
        </w:rPr>
        <w:t>The service is managed by a facility manager who is non-clinical and is supported by an acting clinical manager, second registered nurse and a stable care team.  The residents and relatives interviewed all spoke positively about the care and support provided at Gladys Mary.</w:t>
      </w:r>
    </w:p>
    <w:p w:rsidRPr="00A4268A">
      <w:pPr>
        <w:spacing w:before="240" w:line="276" w:lineRule="auto"/>
        <w:rPr>
          <w:rFonts w:eastAsia="Calibri"/>
        </w:rPr>
      </w:pPr>
      <w:r w:rsidRPr="00A4268A">
        <w:rPr>
          <w:rFonts w:eastAsia="Calibri"/>
        </w:rPr>
        <w:t xml:space="preserve">This certification audit identified areas for improvement around quality data, emergency water and first aid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(HDC) Code of Health and Disability Consumers’ Rights.  Staff ensure that the care provided focuses on the individual, values each resident’s autonomy and maintains their privacy and choice.  Cultural needs of residents are met.  Policies are implemented to support residents’ rights, communication and complaints management.  Information on informed consent is included in the admission agreement and is discussed with residents and relatives.  Care plans accommodate the choices of residents and/or their family/whānau.  Complaints and concerns have been managed appropriately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care home manager and an acting clinical manager are responsible for the day-to-day operations of the care facility.  </w:t>
      </w:r>
    </w:p>
    <w:p w:rsidRPr="00A4268A">
      <w:pPr>
        <w:spacing w:before="240" w:line="276" w:lineRule="auto"/>
        <w:rPr>
          <w:rFonts w:eastAsia="Calibri"/>
        </w:rPr>
      </w:pPr>
      <w:r w:rsidRPr="00A4268A">
        <w:rPr>
          <w:rFonts w:eastAsia="Calibri"/>
        </w:rPr>
        <w:t xml:space="preserve">Quality and risk management processes are established.  Strategic plans and quality goals are documented for the service.  A risk management programme is in place, which includes a risk management plan, incident and accident reporting, and health and safety processes.  Resident and family meetings are held regularly.  Adverse, unplanned and untoward events are documented by staff.  A health and safety programme is being implemented.  </w:t>
      </w:r>
    </w:p>
    <w:p w:rsidRPr="00A4268A">
      <w:pPr>
        <w:spacing w:before="240" w:line="276" w:lineRule="auto"/>
        <w:rPr>
          <w:rFonts w:eastAsia="Calibri"/>
        </w:rPr>
      </w:pPr>
      <w:r w:rsidRPr="00A4268A">
        <w:rPr>
          <w:rFonts w:eastAsia="Calibri"/>
        </w:rPr>
        <w:t xml:space="preserve">Appropriate employment processes are adhered to and employees have a staff appraisal completed on an annual basis.  Registered nursing cover is provided on site five days a week.  An RN is rostered on call if not on site.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Resident files reviewed provide evidence that the registered nurses assess residents on admission in consultation with the resident and relatives.  Assessments, care plans and evaluations are completed within the required timeframes.  Care plans demonstrate service integration.  Resident files included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medication charts on the electronic medication system include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An activities programme is implemented separately for the rest home and dementia residents with some activities integrated.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done on site.  All residents' nutritional needs are identified and documented.  Choices are available and are provided.  The organisational dietitian reviews the Bupa menu plans.  Nutritious snacks are available 24/7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spacious and personalised.  Communal areas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six-monthly fire evacuation drills.  The facility temperature is comfortable and constant.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using a restraint or an enabler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7"/>
        <w:gridCol w:w="1280"/>
        <w:gridCol w:w="92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Consumers’ Rights (the Code) brochures are provided to residents and their families.  The policy relating to the Code is implemented.  The care home manager, acting clinical manager and eleven staff interviewed (five caregivers (one AM shift and four PM shift), one registered nurse (RN), one activities coordinator, one laundry, one maintenance, one cook, one cleaner) could describe the Code and provide examples of how it is incorporated into their job role and responsibilities.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including for van outings are obtained on admission as sighted in the six resident files reviewed (three dementia and three rest home including one resident for respite care).  Advance directives if known were on the residents’ files.  Resuscitation plans for competent residents were appropriately signed.  Where residents were deemed unable to make a resuscitation decision the general practitioner (GP) had made a medically indicated resuscitation decision.  The enduring power of attorney (EPOA) had been activated in the three dementia resident files reviewed and for rest home residents deemed incompetent to make decisions.  Specific consents were obtained for procedures such as influenza vaccines.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Long-term resident’s files reviewed had a signed admission agreement.  The respite care resident had signed a short-stay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new residents and their family on admission.  HDC advocacy brochures are also available.  Residents and families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to new residents and their family on admission.  Interviews with residents and family members confirmed their understanding of the complaints process.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electronically using RiskMan.  Complaints are acknowledged, investigated and signed off as evidenced on the complaints register.  Four complaints were lodged in 2019 and none in 2020 (year-to-date).  Timeframes for acknowledging and responding to each complainant following a thorough investigation were met.  Three of the four complaints are documented as resolved and the fourth complaint (received 27 December 2019) has been actioned but is not yet closed.  The care home manager is awaiting a response from the complainant.  Missing was evidence to indicate that complaints are discussed in meetings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HDC advocacy are included in the resident information that is provided to new residents and their families.  Either the care home manager or an RN discusses aspects of the Code with residents and their family on admission.  Discussions relating to the Code are also held during resident/family meetings.  All four residents and five family (four dementia, one rest home)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Privacy signage is on communal toilet and shower doors.  There is one double room used for couples only.  This room was assessed as suitable for rest home level of care during the audit and was occupied by a married couple.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 is being given and do not hold personal discussions in public areas.  They reported that they promote the residents' independence by encouraging them to be as active as possible.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and are covered in staff training.  No instance of suspected abuse or neglect has been reported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Ngati Kahungunu and Māori staff who are employed by the service.  Staff receive education on cultural awareness during their induction to the service.  Cultural training continues as a regular/annual in-service topic.  Caregivers interviewed were aware of the importance of whānau in the delivery of care for Māori residents.</w:t>
            </w:r>
          </w:p>
          <w:p w:rsidR="00EB7645" w:rsidRPr="00BE00C7" w:rsidP="00BE00C7">
            <w:pPr>
              <w:pStyle w:val="OutcomeDescription"/>
              <w:spacing w:before="120" w:after="120"/>
              <w:rPr>
                <w:rFonts w:cs="Arial"/>
                <w:b w:val="0"/>
                <w:lang w:eastAsia="en-NZ"/>
              </w:rPr>
            </w:pPr>
            <w:r w:rsidRPr="00BE00C7">
              <w:rPr>
                <w:rFonts w:cs="Arial"/>
                <w:b w:val="0"/>
                <w:lang w:eastAsia="en-NZ"/>
              </w:rPr>
              <w:t>Two residents who identify as Māori are living at the facility.  One Māori resident and their care plan were reviewed.  The resident confirmed that their values and beliefs, which were documented in their care plan, were adhered to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Residents and families interviewed confirmed they were involved in developing the resident’s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and the code of conduct are discussed with each new employee during their induction to the service, evidenced in all six staff files reviewed.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nurses are on site five days a week (Monday – Friday) and are rostered on call when not on site.  A general practitioner (GP) from the local medical centre visits the facility once a week.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they were either satisfied or very satisfied with the services received.  The service receives support from the district health board (DHB), which includes (but is not limited to) specialist visits.  Physiotherapy services are available as needed.  Podiatry services are six weekly and hairdressing services are on site once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includes a range of information regarding the scope of services provided to the resident on entry to the service, and any items they have to pay for that are not covered by the agreement.  Regular contact is maintained with families including when an incident or care/health issues arises, evidenced in the 12 accident/incident forms that were randomly selected for review.  Interviews with families confirmed that they are kept informed.  The information pack is available in large print and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DHB if required.  The care home manager reported that this has not been necessary, and that family and staff would be used in the first instance.  There were no residents at the facility who did not speak English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Gladys Mary is certified to provide rest home and dementia level care for up to 39 residents.  This is an increase of one (rest home level) bed following the conversion of a single room to a double room that is being used by a married couple.  There were 36 residents at the facility during the audit (21 of 24 rest home level residents and 15 of 15 beds dementia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are documented.  These goals link to the overarching Bupa strategic plan.  Progress towards meeting the goals are reviewed regularly, recorded and shared with staff in the quality meetings.  Work is currently underway to develop new goals for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his role at Gladys Mary since June 2018.  He has worked as a care home manager for Bupa since June 2017.  His background is in public health and police services where he has held various managerial roles.  He holds a current practicing certificate from the Medical Sciences Council of New Zealand as an anaesthetic technician.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supported by an acting clinical manager who has been in this role since December 2019.  She is a registered nurse who was employed at Gladys Mary as a unit coordinator for the dementia unit since July 2019.  Work is underway to appoint a permanent clinical manager.  In the meantime, the acting clinical manager has maintained her role as unit coordinator in addition to taking on additional responsibilities as a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over eight hours annually of professional development activities relating to managing an aged care service, which includes attendance at Bupa manager days and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acting clinical manager or Bupa relieving care home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established but not fully implemented.  Quality and risk systems are overseen by the care home manager and acting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Policies are available for staff to read and sign that they have read and understand the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(eg, residents’ falls, skin tears, bruising, infections) are documented on RiskMan, but are not currently being analysed or trended.  Results are not reported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in place with evidence of audits being completed as per the schedule.  Corrective actions are identified on each audit form and are signed off when implemented.  A satisfaction survey completed for 2019 reflected resident satisfaction.  Only one corrective action plan was necessary to address lower than anticipated scores for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being implemented.  This includes the implementation of interventions on a case-by-case basis to minimise future falls and the use of sensor mats.  The caregivers interviewed are aware of the residents who are at a high risk of falling and reported that this information is shared during staff handover.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meetings are scheduled monthly.  Each year Bupa sets two health and safety goals that are regularly reviewed in the health and safety meetings.  Hazards are identified and are discussed including how risks have been isolated or minimised.  Health and safety was evidenced to be consistently discussed as an agenda item in monthly staff meetings.  The care home manager is the health and safety officer and was interviewed regarding the health and safety programme.  Risk management, hazard control and emergency policies and procedures are being implemented.  Hazard identification forms and a hazard register are in place (reviewed 6 January 2020).  A health and safety hazard register and emergency information is posted in an area adjacent to reception.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complete an incident/accident form on an electronic database.  Immediate actions and an investigation by an RN (clinical events) are documented.  Twelve accident/incident forms were reviewed via RiskMan (two infections, two skin tears, one pressure injury, one property damage, six falls).  Each event was investigated by a registered nurse and signed off by the care home manager.  Neurological observations are undertaken if there is a suspected injury to the head.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confirmed his awareness of statutory requirements in relation to essential notification.  This was completed for one police investigation around property damage and a potential break-in.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that describe staff roles, responsibilities and accountabilities.  The practising certificates of nurses and other health professionals were current.  Six staff files were reviewed (three caregivers, one acting clinical manager, one registered nurse, one activities coordinator).  Evidence of signed employment contracts and job descriptions were sighted.  Annual performance appraisals were completed for staff who had been employed for over one year.  Newly appointed staff have an orientation that is specific to their job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Out of 21 caregivers employed, seven have completed their level two Careerforce qualification (or its equivalent), seven have completed their level three, and four have completed their level four.  </w:t>
            </w:r>
          </w:p>
          <w:p w:rsidR="00EB7645" w:rsidRPr="00BE00C7" w:rsidP="00BE00C7">
            <w:pPr>
              <w:pStyle w:val="OutcomeDescription"/>
              <w:spacing w:before="120" w:after="120"/>
              <w:rPr>
                <w:rFonts w:cs="Arial"/>
                <w:b w:val="0"/>
                <w:lang w:eastAsia="en-NZ"/>
              </w:rPr>
            </w:pPr>
            <w:r w:rsidRPr="00BE00C7">
              <w:rPr>
                <w:rFonts w:cs="Arial"/>
                <w:b w:val="0"/>
                <w:lang w:eastAsia="en-NZ"/>
              </w:rPr>
              <w:t>Eleven caregivers work in the dementia unit.  Eight of these caregivers have completed their dementia qualification.  The remaining three caregivers have been employed for less than 18 months and are planning to enrol in the Careerforce dementia programme.</w:t>
            </w:r>
          </w:p>
          <w:p w:rsidR="00EB7645" w:rsidRPr="00BE00C7" w:rsidP="00BE00C7">
            <w:pPr>
              <w:pStyle w:val="OutcomeDescription"/>
              <w:spacing w:before="120" w:after="120"/>
              <w:rPr>
                <w:rFonts w:cs="Arial"/>
                <w:b w:val="0"/>
                <w:lang w:eastAsia="en-NZ"/>
              </w:rPr>
            </w:pPr>
            <w:r w:rsidRPr="00BE00C7">
              <w:rPr>
                <w:rFonts w:cs="Arial"/>
                <w:b w:val="0"/>
                <w:lang w:eastAsia="en-NZ"/>
              </w:rPr>
              <w:t>Both RNs (acting clinical manager and staff RN) have their interRAI qualification.  There are implemented competencies for the registered nurses including (but not limited to) medication, catheter care, wound management and syringe driver competencies.  Medication competencies are also completed annually for senior caregivers.  Missing was evidence of a staff member trained in CPR on the occasional night shift (link 1.4.7.1).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acting care home manager is available Monday – Friday.  A second staff RN is on site Monday – Friday.  The two RNs share the on-call roster 24/7.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caregivers available.  The rest home wing (occupancy 21) is staffed with one long and one short shift caregiver on the morning shift, one long and one short shift caregiver on the afternoon shift and one caregiver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wing (occupancy 15 residents) is also staffed with one long and one short shift caregiver on the morning shift, one long and one short shift caregiver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cleaning and laundry staff although caregivers are expected to assist with laundry duties on the afternoon shift.  </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An initial support plan is also developed in this time.  </w:t>
            </w:r>
          </w:p>
          <w:p w:rsidR="00EB7645" w:rsidRPr="00BE00C7" w:rsidP="00BE00C7">
            <w:pPr>
              <w:pStyle w:val="OutcomeDescription"/>
              <w:spacing w:before="120" w:after="120"/>
              <w:rPr>
                <w:rFonts w:cs="Arial"/>
                <w:b w:val="0"/>
                <w:lang w:eastAsia="en-NZ"/>
              </w:rPr>
            </w:pPr>
            <w:r w:rsidRPr="00BE00C7">
              <w:rPr>
                <w:rFonts w:cs="Arial"/>
                <w:b w:val="0"/>
                <w:lang w:eastAsia="en-NZ"/>
              </w:rPr>
              <w:t>Personal resident information is kept confidential and cannot be viewed by other residents or members of the public.  Hard copy residents’ files are protected from unauthorised access by being held in secure rooms.  Archived records are secure in a separate and locked storage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were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Information gathered on admission is retained in residents’ records.  Relatives interviewed stated they were well informed upon admission.  The service has an information pack available for residents/families/whānau at entry that describes the rest home and dementia level of care and services provided.  The admission agreement reviewed aligns with the service’s contracts.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clinical manager, RN and medication competent senior caregivers have completed medication competencies and medication education.  Medications are stored safely in both communities.  Medication reconciliation of robotic rolls on delivery is completed by the RN and verified on a signing sheet.  There are regular checks of ‘as required’ and non-packaged medications for expiry dates.  There is no impress stock held on site.  There was one rest home self-medicating resident (nasal spray) with a self-medication competency that had been reviewed by the GP three monthly.  The RNs have syringe driver competency and supported by hospice and an agency RN on night shifts if required.  The medication fridge is monitored at least weekly and medication room air temperature monitoring has commenced with all temperature being within acceptable limits.  No vaccines are kept on site.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system.  Eleven electronic medication charts and one paper-based medication chart (respite care) were reviewed and met prescribing requirements.  All long-term medication charts had photo identification and allergy status noted.  All ‘as required’ medications charted had an indication for use and outcomes were documented on the signing sheets for effectiveness.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Gladys Mary are prepared and cooked on site.  The rest home dining room is adjacent to the kitchen which has barrier doors for resident safety.  There is a satellite kitchen in the dementia care community with a door barrier.  There is a four-weekly summer menu in place that has been reviewed by the Bupa dietitian.  There are two cooks that cover the seven-day week and are supported by a morning and afternoon kitchenhand.  Meals are served directly from the kitchen to the rest home dining area and delivered in a bain marie to the dementia care community.  Dietary needs are known with individual likes and dislikes accommodated.  Pureed, diabetic desserts, vegetarian diets and allergies are accommodated.  There were additional nutritious snacks available over 24 hours in the dementia care kitchenette.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dementia and rest home dining rooms as required.  Resident meetings and surveys allow for the opportunity for resident feedback on the meals and food services generally.  Residents and family members interviewed were satisfied with the food and confirmed alternative food choices were offered for dislikes.  The cooks receive feedback on meals directly at mealtimes and through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22 September 2020.  Fridge, freezer and chiller temperatures are taken and recorded daily.  End-cooked food temperatures, re-heating, cooling and probe calibrations are completed and recorded.  All dry goods in the pantry were date labelled.  The dishwasher is checked regularly by the chemical supplier.  A cleaning schedule is maintained.  All food services staff have completed training in food safety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assessment booklet including skin assessment, pain, falls assessments, cultural assessment and activity assessment is completed for all long-term residents.  The respite care resident had a short-stay nursing assessment completed.  Additional assessments for management of behaviour, and wound care were completed according to need.  The service has embedded the interRAI assessment protocols within its current documentation.   InterRAI initial assessments and assessment summaries were evident in printed format in all long-term resident files.  The information obtained through the assessment processes is reflected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The resident care plans reviewed were individualised and addressed all identified care needs.  Care plans were amended to reflect changes in health status and were reviewed on a regular basis.  There were specific care plans for medical needs, depression and dementia care.  The care plans incorporated socialising and activities that were successful in de-escalating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resident (as appropriate) and family/whānau involvement in the care plan process.  Relatives interviewed confirmed they were involved in the care planning process.  Short-term care plans are utilised for short-term needs and reviewed regularly, resolved or added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consultation.  All long-term care plans reviewed, evidenced that interventions are fully recorded and align with the resident’s assessed needs.  Short-term care plans are utilised for short-term care issues including changes in health conditions, infections and wounds.  Progress notes reflected RN assessments and observations related to changes in health.  Long-term care plans had been updated to reflect the resident’s current health status.  A family/whānau contact form in resident files evidenced discussions with families around changes in health.  Family members stated they were informed on changes to the resident’s health and their relative’s needs were being met.  The residents and families interviewed were complimentary of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including a surgical wound, skin tears and chronic ulcer.  There were short-term care plans in place for wounds and the chronic would was linked to the long-term care plan.  There was one dementia care resident with a hospital acquired healing stage two pressure injury.  Adequate dressing supplies were sighted in the treatment room.  Staff receive regular education on wound management.  The wound nurse specialist from the DHB has been involved in the management of the chronic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urinary continence assessment, bowel management, and continence products identified for use.  Specialist continence advice is available as needed and this could be described by the care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utilised to monitor residents state of wellbeing and the effectiveness of interventions.  Monitoring forms reviewed included nutritional records, fluid balance charts, bowel records, weekly/monthly weight, blood sugar levels, vital signs, continence monitoring, behaviour charts, and neurological observations.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coordinator works 8.30 am to 3 pm Monday to Friday, across the rest home and dementia communities.  The activities coordinator is currently undertaking the diversional therapy qualification and attends regional diversional therapy meetings.  She is supported by an activity assistant six hours a week over three days.  There are separate activity programmes for the rest home and dementia care with integrated activities such as exercises, ball games, happy hours with music and entertainment, pet therapy and church services.  There are resident led activities in the rest home including card groups and board games as observed on the day of audit.  Caregivers incorporate activities in their role in the dementia care community.  A quiet/family/whānau room has been designated in the dementia community with memorabilia and activity resources available for residents, staff and family.  Activities are offered to meet the cognitive, physical, intellectual and emotional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residents in both areas were observed being actively involved with a variety of activities with support and involvement of the activity and care staff.  The programme is developed monthly and displayed throughout the facility.  The activity coordinator has introduced a variety of new activities such as baking,  bingo as observed in the dementia care community with good participation and reminiscing.  There are weekly drives/outings for dementia care residents and twice weekly for rest home residents to places of interest such as the waterfront, Marine Parade and surrounding districts.  There are visits to the RSA lunches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and “Map of Life” is completed on admission in consultation with the resident/family (as appropriate).  Socialising and activity plans were incorporated into the long-term care plan and reviewed six monthly at the same time as the care plans.  Resident meetings are held monthly, and residents reported that they are satisfied with the variety of activities offered.  The residents and families interviewed spoke positively about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had been reviewed at least six monthly in all long-term resident files reviewed or earlier for any health changes.  Written evaluations are completed on the care plans and indicated if the resident goals have been met or unmet.  Care staff provide input into the care plan review by completing a resident data needs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team (MDT) includes the clinical manager, RN, resident/relative and any other health professionals involved in the care of the resident.  Resident review records are maintained in the resident file.  The GP reviews the residents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reassessed for a different level of care.  Discussion with the clinical manager identified that the service has access to a wide range of support either through the GP, Bupa specialists and contracted allied services.  Relatives are informed of referral options.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Management of waste and hazardous substances is covered during orientation of new staff.  Chemicals are stored safely in a locked external room.  Safety datasheets and product wall charts are available.  All chemicals were labelled correctly.  There is a measured chemical dispensing system in place.  Gloves, aprons, and goggles are available for staff at the point of use and in the rest home sluice room.  Infection control policies state specific tasks and duties for which protective equipment is to be worn.  Staff were observed to be wearing appropriate personal protective clothing when carrying out their duties.  Staff have attended chemical safety training.  The maintenance person is a qualified chemical sprayer.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expired 17 October 2020.  There is a part-time maintenance person (qualified builder) who works 30 hours a week maintaining building maintenance and the gardens.  Requests for repairs and maintenance is entered into a maintenance log which is checked and signed off when requests are completed.  Contracted plumbers and electricians are available when required.  A 52-week maintenance planner is being maintained and includes electrical testing and tagging, service check and calibrations of clinical equipment, chair scales and hoist.  Hot water temperatures are monitored weekly to cover all resident areas.  Records evidence temperatures were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communal lounges and dining room are spacious and promote safety mobility.  The corridors are wide and promote safe mobility with the use of mobility aids.  The external areas, gardens and courtyard with aviary and water features were well maintained.  Outdoor areas have seating and shade.  The service is currently upgrading a back garden with ramp access and raised beds for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communal areas in the dementia care community.  There is free access to external walking pathways, gardens and outdoor covered conservatory with seating and activity benches such as a gardening bench.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and dementia level of care residents.  The service has a bed replacement programme in place to replace the wooden beds with electric beds.  Resident rooms are refurbished as they become vacant.  One resident room in the rest home was assessed as suitable for a double room.  There are calls bells at the head of each bed.  There is sufficient space for the residents to mobilise safely around the room with mobility aids.  A privacy curtain is not required for the rest home couple currently occupying the room.  The double room is to be occupied by married couples only as on the day of audit.  The communal toilet and shower are located close by.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rest home rooms with a toilet and handbasin ensuite.  There is a mix of handbasins in rooms.  There are sufficient numbers of communal toilets and showers near resident rooms and near the communal areas of the rest home and dementia care community.  Toilet and shower facilities have privacy signs.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bedrooms are spacious enough (including the one assessed rest home double room) to manoeuvre transferring and mobility equipment.  Residents are encouraged to personalise their bedrooms as desired.  Some resident rooms in the rest home open out onto the courtyard.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open plan lounges and dining areas in each community.  There is a second smaller lounge in the rest home and a family/whānau/quiet lounge has been developed in the dementia community.  Seating and space are arranged to allow both individual and group activities to occur in each area.  The communal areas, gardens and grounds are freely accessible for residents.  There is a hairdressing salon.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and personal clothing are laundered on site.  The laundry main entrance is located within the dementia community entry by keypad.  There is external access to the laundry for rest home staff.  All laundry from the rest home is delivered in covered laundry bins.  There is a clean/dirty workflow with an entry and exit door.  Caregivers in the dementia community complete laundry duties in the evenings.  There were adequate linen supplies sighted in the facility linen-store cupboards.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cleaner Monday to Friday for 5.5 hours.  The cleaner’s trolley is stored safely in a locked area when not in use.  There is a cleaning schedule that includes cleaning of rooms.  Internal audits monitor the effectiveness of laundry and cleaning processes.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are scheduled every six months.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food supplies available in the event of a civil defence emergency but the amount of potable water available does not comply with the Hawkes Bay DHB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24/7 with a current first aid/CPR certificate on the AM and PM shifts but not consistently on the night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bedrooms were of comfortable temperature, well ventilated and light.  Communal dining rooms have doors that open out onto gardens.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being implemented.  The infection control programme is appropriate for the size, complexity and degree of risk associated with the service and has been linked into the incident reporting system.  The acting infection control coordinator is the clinical manager who has been in the role six months at Bupa and previously an infection control coordinator at another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attends teleconferences with the Bupa infection control specialist and other Bupa infection control coordinators.  The infection control and prevention programme is reviewed annually in consultation with the facility infection control team and Bupa personnel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are sufficient hand sanitisers appropriately placed throughout the facility and adequate supplies of personal protective equipment and outbreak management supplies.  Influenza vaccines are offered to residents and staff.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Gladys Mary.  The infection control coordinator completed infection control orientation on appointment.  Email updates are received from the infection control specialists at the DHB.  The infection control coordinator has access to expertise with the organisation, GPs and public health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and procedures are reviewed at head office in consultation with Bupa infection control coordinators.  Staff are informed of any new/reviewed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set down from head office including a power point presentation and self-directed learning.  The infection control coordinator facilitates education, last completed December 2019 for all staff.  Infection control is included in staff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 control training has been documented and a record of attendance has been maintained.  Infection control competencies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There are standard definitions of infections in place appropriate to the complexity of service provided.  Monthly infection data including microorganisms and treatment have been documented on a data collection form and are now being entered into the RiskMan electronic register which is reported at head office for benchmarking purposes.  There is no documented evidence of communicating analysis and trending of infection data to staff at meetings (link PA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acting clinical manager is the restraint coordinator.  Staff receive regular (annual) restraint minimisation training.  This includes a competency questionnaire.  Environmental restraint is incorporated into the dementia unit.  Otherwise, there were no residents using restraints or enablers at the time of the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8"/>
        <w:gridCol w:w="1280"/>
        <w:gridCol w:w="2786"/>
        <w:gridCol w:w="5420"/>
        <w:gridCol w:w="16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are collected via RiskMan but is not being analysed or evaluated to identify trends.  Quality results including complaints are not consistently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Quality and risk data are not being analysed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(ii). Meeting minutes and interviews with staff do not indicate quality and risk results and complaints are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quality and risk data is analysed and evaluated each month to identify areas for improvements.</w:t>
            </w:r>
          </w:p>
          <w:p w:rsidR="00EB7645" w:rsidRPr="00BE00C7" w:rsidP="00BE00C7">
            <w:pPr>
              <w:pStyle w:val="OutcomeDescription"/>
              <w:spacing w:before="120" w:after="120"/>
              <w:rPr>
                <w:rFonts w:cs="Arial"/>
                <w:b w:val="0"/>
                <w:lang w:eastAsia="en-NZ"/>
              </w:rPr>
            </w:pPr>
            <w:r w:rsidRPr="00BE00C7">
              <w:rPr>
                <w:rFonts w:cs="Arial"/>
                <w:b w:val="0"/>
                <w:lang w:eastAsia="en-NZ"/>
              </w:rPr>
              <w:t>(ii).  Ensure quality and risk data including complaints are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training for staff begins during their orientation to the service and continues annually with six-monthly fire evacuation drills.  There are adequate food stores, but additional water storage is required.  </w:t>
            </w:r>
          </w:p>
          <w:p w:rsidR="00EB7645" w:rsidRPr="00BE00C7" w:rsidP="00BE00C7">
            <w:pPr>
              <w:pStyle w:val="OutcomeDescription"/>
              <w:spacing w:before="120" w:after="120"/>
              <w:rPr>
                <w:rFonts w:cs="Arial"/>
                <w:b w:val="0"/>
                <w:lang w:eastAsia="en-NZ"/>
              </w:rPr>
            </w:pPr>
            <w:r w:rsidRPr="00BE00C7">
              <w:rPr>
                <w:rFonts w:cs="Arial"/>
                <w:b w:val="0"/>
                <w:lang w:eastAsia="en-NZ"/>
              </w:rPr>
              <w:t>Emergency training for staff includes first aid and CPR training.  When reviewing the staff roster, it was identified that a selection of night duties does not have a first aid trained staff member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Currently the facility has the equivalent of three litres of emergency water stored on site per person per day for three days.  The Hawkes Bay DHB recommends that the amount of water available be extended from three litres of water per day (per resident) for three days to 10 days (1170 litres).  Since the draft report the service has confirmed a 1000 litre tank has been purchase and is soon to be installed.</w:t>
            </w:r>
          </w:p>
          <w:p w:rsidR="00EB7645" w:rsidRPr="00BE00C7" w:rsidP="00BE00C7">
            <w:pPr>
              <w:pStyle w:val="OutcomeDescription"/>
              <w:spacing w:before="120" w:after="120"/>
              <w:rPr>
                <w:rFonts w:cs="Arial"/>
                <w:b w:val="0"/>
                <w:lang w:eastAsia="en-NZ"/>
              </w:rPr>
            </w:pPr>
            <w:r w:rsidRPr="00BE00C7">
              <w:rPr>
                <w:rFonts w:cs="Arial"/>
                <w:b w:val="0"/>
                <w:lang w:eastAsia="en-NZ"/>
              </w:rPr>
              <w:t>(ii). A first aid trained staff is not always rostered on the night shift.  Since the draft report the service has advised there is now a staff member across all shifts with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is a minimum of three litres of water per resident per day for ten days in the event of a civil emergency.</w:t>
            </w:r>
          </w:p>
          <w:p w:rsidR="00EB7645" w:rsidRPr="00BE00C7" w:rsidP="00BE00C7">
            <w:pPr>
              <w:pStyle w:val="OutcomeDescription"/>
              <w:spacing w:before="120" w:after="120"/>
              <w:rPr>
                <w:rFonts w:cs="Arial"/>
                <w:b w:val="0"/>
                <w:lang w:eastAsia="en-NZ"/>
              </w:rPr>
            </w:pPr>
            <w:r w:rsidRPr="00BE00C7">
              <w:rPr>
                <w:rFonts w:cs="Arial"/>
                <w:b w:val="0"/>
                <w:lang w:eastAsia="en-NZ"/>
              </w:rPr>
              <w:t>(ii). Ensure there is a first aid trained staff available 24/7.</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Gladys Mary Rest Home</w:t>
    </w:r>
    <w:bookmarkEnd w:id="58"/>
    <w:r>
      <w:rPr>
        <w:rFonts w:cs="Arial"/>
        <w:sz w:val="16"/>
        <w:szCs w:val="20"/>
      </w:rPr>
      <w:tab/>
      <w:t xml:space="preserve">Date of Audit: </w:t>
    </w:r>
    <w:bookmarkStart w:id="59" w:name="AuditStartDate1"/>
    <w:r>
      <w:rPr>
        <w:rFonts w:cs="Arial"/>
        <w:sz w:val="16"/>
        <w:szCs w:val="20"/>
      </w:rPr>
      <w:t>22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