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Tararu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Tararu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February 2020</w:t>
      </w:r>
      <w:bookmarkEnd w:id="7"/>
      <w:r w:rsidRPr="009418D4">
        <w:rPr>
          <w:rFonts w:cs="Arial"/>
        </w:rPr>
        <w:tab/>
        <w:t xml:space="preserve">End date: </w:t>
      </w:r>
      <w:bookmarkStart w:id="8" w:name="AuditEndDate"/>
      <w:r w:rsidR="00A4268A">
        <w:rPr>
          <w:rFonts w:cs="Arial"/>
        </w:rPr>
        <w:t>5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Tararu Rest Home &amp; Hospital is part of the Bupa group of aged care facilities.  The care facility has a total of 62 beds suitable for rest home and  hospital (geriatric and medical) levels of care.  During the audit there were 60 residents at the facility.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service is managed by an experienced care home manager who is new to the role and is also a registered nurse.  The care home manager is supported by a clinical manager, a unit coordinator and a Bupa regional manager.</w:t>
      </w:r>
    </w:p>
    <w:p w:rsidRPr="00A4268A">
      <w:pPr>
        <w:spacing w:before="240" w:line="276" w:lineRule="auto"/>
        <w:rPr>
          <w:rFonts w:eastAsia="Calibri"/>
        </w:rPr>
      </w:pPr>
      <w:r w:rsidRPr="00A4268A">
        <w:rPr>
          <w:rFonts w:eastAsia="Calibri"/>
        </w:rPr>
        <w:t>The GP, residents and relatives interviewed, all spoke positively about the home, staff and the care provided.</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live in the service.  Implementation is supported through the Bupa quality and risk management programme that is individualised to Tararu.  Quality initiatives are implemented which provide evidence of improved services for residents.</w:t>
      </w:r>
    </w:p>
    <w:p w:rsidRPr="00A4268A">
      <w:pPr>
        <w:spacing w:before="240" w:line="276" w:lineRule="auto"/>
        <w:rPr>
          <w:rFonts w:eastAsia="Calibri"/>
        </w:rPr>
      </w:pPr>
      <w:r w:rsidRPr="00A4268A">
        <w:rPr>
          <w:rFonts w:eastAsia="Calibri"/>
        </w:rPr>
        <w:t>There are improvements required by the service around; adverse events, medication documentation and timeliness of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Code of Health and Disability Consumers’ Rights.  Staff strive to ensure that care is provided that focuses on the individual resident, values residents' autonomy and maintains their privacy and choice.  Policies are implemented to support residents’ rights, communication and complaints management.  Information on informed consent is included in the admission agreement and discussed with residents and relatives.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care home manager is supported by a clinical manager, a unit coordinator, registered nurses, caregivers and support staff.  </w:t>
      </w:r>
    </w:p>
    <w:p w:rsidRPr="00A4268A">
      <w:pPr>
        <w:spacing w:before="240" w:line="276" w:lineRule="auto"/>
        <w:rPr>
          <w:rFonts w:eastAsia="Calibri"/>
        </w:rPr>
      </w:pPr>
      <w:r w:rsidRPr="00A4268A">
        <w:rPr>
          <w:rFonts w:eastAsia="Calibri"/>
        </w:rPr>
        <w:t xml:space="preserve">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w:t>
      </w:r>
    </w:p>
    <w:p w:rsidRPr="00A4268A">
      <w:pPr>
        <w:spacing w:before="240" w:line="276" w:lineRule="auto"/>
        <w:rPr>
          <w:rFonts w:eastAsia="Calibri"/>
        </w:rPr>
      </w:pPr>
      <w:r w:rsidRPr="00A4268A">
        <w:rPr>
          <w:rFonts w:eastAsia="Calibri"/>
        </w:rPr>
        <w:t xml:space="preserve">Health and safety policies, systems and processes are implemented to manage risk.  </w:t>
      </w:r>
    </w:p>
    <w:p w:rsidRPr="00A4268A">
      <w:pPr>
        <w:spacing w:before="240" w:line="276" w:lineRule="auto"/>
        <w:rPr>
          <w:rFonts w:eastAsia="Calibri"/>
        </w:rPr>
      </w:pPr>
      <w:r w:rsidRPr="00A4268A">
        <w:rPr>
          <w:rFonts w:eastAsia="Calibri"/>
        </w:rPr>
        <w:t xml:space="preserve">Appropriate employment processes are adhered to.  An education and training programme is established.  The roster provides sufficient and appropriate staff cover for the effective delivery of care and support.   </w:t>
      </w:r>
    </w:p>
    <w:p w:rsidRPr="00A4268A">
      <w:pPr>
        <w:spacing w:before="240" w:line="276" w:lineRule="auto"/>
        <w:rPr>
          <w:rFonts w:eastAsia="Calibri"/>
        </w:rPr>
      </w:pPr>
      <w:r w:rsidRPr="00A4268A">
        <w:rPr>
          <w:rFonts w:eastAsia="Calibri"/>
        </w:rPr>
        <w:t xml:space="preserve">The residents’ files are appropriate to the service type.  Residents entering the service have all relevant initial information recorded within 24 hours of entry into the resident’s individual record.  Residents' files are protected from unauthorised access.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There is a comprehensive admission package available prior to or on entry to the service.  The residents and family interviewed confirmed their input into care planning and access to a typical range of life experiences and choices.  A sample of residents' files validated the service delivery to the residents.  Where progress is different from expected, the service responds by initiating changes to the care plan or recording the changes on a short-term care plan.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Planned activities are appropriate to the resident groups.  The programme includes community visitors, outings, entertainment and activities that meet the individual recreational, physical, cultural and cognitive abilities and preferences for each consumer group.  The residents and family interviewed confirmed satisfaction with the activities programme.  </w:t>
      </w:r>
    </w:p>
    <w:p w:rsidRPr="00A4268A" w:rsidP="00621629">
      <w:pPr>
        <w:spacing w:before="240" w:line="276" w:lineRule="auto"/>
        <w:rPr>
          <w:rFonts w:eastAsia="Calibri"/>
        </w:rPr>
      </w:pPr>
      <w:r w:rsidRPr="00A4268A">
        <w:rPr>
          <w:rFonts w:eastAsia="Calibri"/>
        </w:rPr>
        <w:t xml:space="preserve">Staff responsible for medication management have current medication competencies.  Medication policies reflect legislative requirements and guidelines.  The medicine records reviewed had been reviewed at least three monthly by a medical practitioner.     </w:t>
      </w:r>
    </w:p>
    <w:p w:rsidRPr="00A4268A" w:rsidP="00621629">
      <w:pPr>
        <w:spacing w:before="240" w:line="276" w:lineRule="auto"/>
        <w:rPr>
          <w:rFonts w:eastAsia="Calibri"/>
        </w:rPr>
      </w:pPr>
      <w:r w:rsidRPr="00A4268A">
        <w:rPr>
          <w:rFonts w:eastAsia="Calibri"/>
        </w:rPr>
        <w:t xml:space="preserve">All meals and baking are done on site.  Food, fluid, and nutritional needs of residents are provided in line with recognised nutritional guidelines and additional requirements/modified needs were being met where required.  The menu is reviewed annually by the Bupa dietitian.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Resident rooms are single, spacious and personalised.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Chemicals are stored securely throughout the facility.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All medical equipment and all hoists have been serviced and calibrated.  Hot water temperatures are monitored.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and implemented.  There were seven residents using restraints and one resident using an enabler during the audit.  A registered nurse is the designated restraint coordinator.  Staff are offered training in restraint minimisation and challenging behaviour management, which begins during their orientation to the service.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2"/>
        <w:gridCol w:w="1280"/>
        <w:gridCol w:w="94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policy and procedure is implemented.  Discussions with the care home manager, one RN unit coordinator, three registered nurses, six caregivers, the maintenance person, the cook, the diversional therapist and a housekeeper confirmed their familiarity with the Code.  Interviews with four residents (three from the rest home and one at hospital level) and seven relatives (four hospital and three rest home) confirmed that the services being provided are in line with the Code.  Aspects of the Code are discussed at staff and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informed consent policies, procedures and advanced directives in place.  Signed admission agreements and general consent forms were sighted in all eight resident files sampled (four rest home resident files and four hospital level of care resident files including one resident funded by ACC).  There was evidence in files sampled of family/EPOA discussion with the GP for medically indicated not for resuscitation status where residents were not deemed to be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sampled, there was an appropriately signed resuscitation plan and advance directive in place.  Discussions with residents and family/whānau where appropriate, and client files demonstrated they are involved in the decision-making process and in the planning of the resident’s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they are familiar with the requirements to obtain informed consent for entering rooms and personal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Staff receive training on advocacy.  Information about accessing advocacy services is available in the information presented to residents and their families during entry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relatives confirmed that they were aware of the availability of advocacy services and how to access an advocate.  The complaints process reminds the complainant of their right to contact the Health and Disability Advocacy service with contact details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Care staff interviewed confirmed that residents are encouraged to build and maintain relationships.  Visiting can occur at any time.  Community links were evident and included (but were not limited to) local churches and the local schools.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complaint register.  Fifteen complaints were received in 2019 and none YTD 2020.  Timelines determined by HDC were met, and corrective actions (where indicated) were actioned.  The complainant was kept informed throughout the complaints process.  Corrective actions following complaints have included toolbox talks, call bell reviews, and meetings with complainants.</w:t>
            </w:r>
          </w:p>
          <w:p w:rsidR="00EB7645" w:rsidRPr="00BE00C7" w:rsidP="00BE00C7">
            <w:pPr>
              <w:pStyle w:val="OutcomeDescription"/>
              <w:spacing w:before="120" w:after="120"/>
              <w:rPr>
                <w:rFonts w:cs="Arial"/>
                <w:b w:val="0"/>
                <w:lang w:eastAsia="en-NZ"/>
              </w:rPr>
            </w:pPr>
            <w:r w:rsidRPr="00BE00C7">
              <w:rPr>
                <w:rFonts w:cs="Arial"/>
                <w:b w:val="0"/>
                <w:lang w:eastAsia="en-NZ"/>
              </w:rPr>
              <w:t>One complaint, lodged with the Health and Disability service in April 2019, remains under investigation.  Discussion with the complainant’s husband on the day of audit  indicated he is very happy with the care and support that is now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discussed in quality meetings.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The service is able to provide information in different languages and/or in large print if requested.  On entry to the service the RN responsible for admitting the resident discusses the Code with the resident and the family/whānau.  Information is given in the information pack to the resident, next of kin or enduring power of attorney (EPOA) to read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the Bupa policies which align with requirements of the Privacy Act and Health Information Privacy Code.  The care home manager is the privacy officer.  During the audit, staff were observed gaining permission prior to entering residents’ rooms.  All care staff interviewed demonstrated an understanding of privacy and could describe how choice is incorporated into residents’ cares.  Residents and family members interviewed confirmed that staff promote the residents’ independence wherever possible and that residents’ choices are encouraged. </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that is implemented, and staff have undertaken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Māori cultural policies to help meet the cultural needs of its Māori residents.  Bupa has developed Māori tikanga best practice guidelines, which are posted in visible locations.  Linkages to local iwi and community members have been established and are documented for staff to access.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identified as Māori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to meet the cultural needs of its residents; all residents at the time of audit were able to communicate in English.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relatives interviewed reported that they were satisfied that the residents’ cultural and individual values were being met.  Information gathered during assessment including residents’ cultural beliefs and values is used to develop a care plan which the resident (if appropriate) and/or their family/whānau are asked to consult on.  Cultural preferences are also identified in the resident’s map of life and ‘my day/my way’ documentation.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confirmed that they are aware of the need to respond to the cultural needs of the residents.  Links are identified with the local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all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The service receives support from the district health board which includes visits from specialists.  Physiotherapy services are provided three hours per week.  Education and training for staff includes in-service training and competency assessments.  Podiatry services and hairdressing services are provided.  The service has links with the local community and encourages residents to remain as independent as possible.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who has been in the role for six months has implemented a process of cultural change including providing a supportive environment, training and mentoring for the staff.  The Bupa quality team have also been supporting the new manager with this process.  The stable and supportive management environment has improved staff satisfaction as demonstrated by the November 2019 staff survey (staff engagement; 48% May to 62% November).  Staff and the GP interviewed all commented on the improved culture and supportive manager.  Team support has also included an improved handover process and staff access to education.  Resident focussed initiatives have included a falls reduction action plan (falls have decreased in the last three months) and improved meal services.  The service anticipates the resident and family survey for 2020 will reflect these improvements and verbal feedback has been very positive.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held in each resident’s file.</w:t>
            </w:r>
          </w:p>
          <w:p w:rsidR="00EB7645" w:rsidRPr="00BE00C7" w:rsidP="00BE00C7">
            <w:pPr>
              <w:pStyle w:val="OutcomeDescription"/>
              <w:spacing w:before="120" w:after="120"/>
              <w:rPr>
                <w:rFonts w:cs="Arial"/>
                <w:b w:val="0"/>
                <w:lang w:eastAsia="en-NZ"/>
              </w:rPr>
            </w:pPr>
            <w:r w:rsidRPr="00BE00C7">
              <w:rPr>
                <w:rFonts w:cs="Arial"/>
                <w:b w:val="0"/>
                <w:lang w:eastAsia="en-NZ"/>
              </w:rPr>
              <w:t>Regular resident meetings provide a venue where issues can be addressed.</w:t>
            </w:r>
          </w:p>
          <w:p w:rsidR="00EB7645" w:rsidRPr="00BE00C7" w:rsidP="00BE00C7">
            <w:pPr>
              <w:pStyle w:val="OutcomeDescription"/>
              <w:spacing w:before="120" w:after="120"/>
              <w:rPr>
                <w:rFonts w:cs="Arial"/>
                <w:b w:val="0"/>
                <w:lang w:eastAsia="en-NZ"/>
              </w:rPr>
            </w:pPr>
            <w:r w:rsidRPr="00BE00C7">
              <w:rPr>
                <w:rFonts w:cs="Arial"/>
                <w:b w:val="0"/>
                <w:lang w:eastAsia="en-NZ"/>
              </w:rPr>
              <w:t>Ten incident/accidents forms randomly selected for review indicated that family were informed.  Families interviewed confirmed they are notified of any changes in their family member’s health status (link to 1.2.4.3).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Tararu Rest Home &amp; Hospital is part of the Bupa group of aged care facilities.  The care facility has a total of 62 beds suitable for rest home and hospital levels of care.  Hospital level of care is certified for geriatric and medical.  During the audit there were 60 residents at the facility; 31 rest home and 29 hospital (including one ACC and one  Long Term Support-Chronic Health Conditions [LTS – CHC]).  Seven rest home and hospital beds are certified for dual purpose.  </w:t>
            </w:r>
          </w:p>
          <w:p w:rsidR="00EB7645" w:rsidRPr="00BE00C7" w:rsidP="00BE00C7">
            <w:pPr>
              <w:pStyle w:val="OutcomeDescription"/>
              <w:spacing w:before="120" w:after="120"/>
              <w:rPr>
                <w:rFonts w:cs="Arial"/>
                <w:b w:val="0"/>
                <w:lang w:eastAsia="en-NZ"/>
              </w:rPr>
            </w:pPr>
            <w:r w:rsidRPr="00BE00C7">
              <w:rPr>
                <w:rFonts w:cs="Arial"/>
                <w:b w:val="0"/>
                <w:lang w:eastAsia="en-NZ"/>
              </w:rPr>
              <w:t>Bupa's overall vision and values are displayed in a visible location.  All staff are made aware of the vision and values during their induction to the service.  There is an overall Bupa business plan and risk management plan.  There are documented quality/health and safety goals that are reviewed monthly and signed off when achieved.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for six months.  She is an experienced registered nurse and manager, having managed another Bupa service prior to Tararu.  She is supported by a clinical manager/RN who oversees the hospital and a unit coordinator/RN who oversees the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administrative staff and the clinical manager/RN, with support from the operations manager are in charge.  For extended absences, a Bupa relieving care home manager is rostered.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quality and risk management programme is in place and has been fully implemented for six months since the new care home manager commenced in the role.  Interviews with the manager confirmed her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pressure injuries, complaints, challenging behaviours) are collected on RiskMan and evaluated with results communicated in the monthly staff/quality meetings.  Quality outcomes are displayed for staff to review in the staffroom.  Corrective actions are implemented where data exceeds acceptable levels.  Clinical review meetings have been documented once to twice a week as well as one to two monthly RN meetings.  Clinical review meetings and RN meetings document that new residents, residents of concern and other resident risks (pressure injuries, falls and skin tears as examples) are discussed.</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The new manager has completed and followed-up on all audits for the last six months, not all audits had been documented prior to this.  The new manager has reviewed the audit schedule and completed additional audits to ensure that all audits have been completed year to date.  In addition to scheduled monthly internal audits, an annual facility health check is conducted by an external Bupa representative.  Areas of non-compliance include the initiation of a corrective action plan with sign-off by the care home manager when implemented.  Annual resident satisfaction surveys are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 care home manager and maintenance person are the health and safety officers.  The health and safety team has met monthly for the last six months.  Staff undergo annual health and safety training which begins during their orientation.  All staff are provided with information about their responsibility under the Health Safety at Work Act 2015.  Contractors are required to be inducted into the facility and sign a health and safety information sheet when this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to reduce the number of falls.  This includes (but is not limited to) ensuring call bells are placed within reach, the use of sensor mats, encouraging participation in activities, physiotherapy input and intentional rounding.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registered nurse at the time of the event and by the clinical manager each month, evidenced in all fifteen accident/incident forms reviewed.  Adverse events are linked to the quality and risk management programme.  There is evidence to support actions are undertaken to minimise the number of incidents.  Clinical follow-up of residents is conducted by a registered nurse.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care home manager and clinical manager confirmed their awareness of the requirement to notify relevant authorities in relation to essential notifications with examples provided, however one pressure injury had no incident form or notification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the recruitment and staff selection process.  Relevant checks are completed to validate the individual’s qualifications, experience and veracity.  A register of current practising certificates is maintained.  Eight staff files reviewed (four caregivers, two RNs, one clinical manager and one DT) evidenced that reference checks are completed before employment is offered.  Also sighted were signed employment agreements, job descriptions and up to date staff appraisals.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orientation programme that provides new staff with relevant information for safe work practice.  The care home manager has implemented a range of strategies to ensure that staff receive the education they require.  This has included; a series of education packages with follow-up questions and paid training days.  There is an attendance register for each training session and an individual staff member record of training.  Opportunistic education (toolbox talks) are provided during handovers.  The competency programme has different requirements according to work type (eg, caregivers, RN, and cleaner).  Core competencies are completed annually and a record of completion is maintained – competency register sighted.</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Nine registered nurses are employed and seven have completed their interRAI training.  There are implemented training sessions and competencies for registered nurses including (but not limited to) medication competencies, Bupa RN training days and training through RN and clinical review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The care home manager and the clinical manager are RNs who are employed on a full-time basis (Monday – Friday).  They are supported by a unit coordinator/RN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current 29 hospital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There is one RN, and six caregivers: three work a full shift, and three a short shift.  The afternoon shift is covered by an RN and six caregivers: two who work the full shift and four who work 1500 to 2130.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wing for 31 residents:</w:t>
            </w:r>
          </w:p>
          <w:p w:rsidR="00EB7645" w:rsidRPr="00BE00C7" w:rsidP="00BE00C7">
            <w:pPr>
              <w:pStyle w:val="OutcomeDescription"/>
              <w:spacing w:before="120" w:after="120"/>
              <w:rPr>
                <w:rFonts w:cs="Arial"/>
                <w:b w:val="0"/>
                <w:lang w:eastAsia="en-NZ"/>
              </w:rPr>
            </w:pPr>
            <w:r w:rsidRPr="00BE00C7">
              <w:rPr>
                <w:rFonts w:cs="Arial"/>
                <w:b w:val="0"/>
                <w:lang w:eastAsia="en-NZ"/>
              </w:rPr>
              <w:t>AM: There is an RN or unit coordinator and two caregivers one who works the full shift and one a short shift.  The afternoon shift is covered by one caregiver who works the full shift and two others working shorter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night shift there is one RN and three caregivers for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caregiver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Tararu has a comprehensive admission policy.  Residents are assessed prior to entry to the service by the needs’ assessment team.  Specific information is available for residents/families/whānau at entry.  The information pack includes all relevant aspects of the service and residents and/or family/whānau are provided with associated information such as the Code, how to access advocacy and the health practitioners code.  The eight admission agreements sighted aligned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in place with guidelines for death, discharge, transfer, documentation and follow-up.  All relevant information is documented on the Bupa transfer form and accompanied with a copy of the resident admission form, most recent GP consultation notes and medication information.  Resident transfer information is communicated to the receiving health provider or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documented evidence of family notification of appointments and transfers.  Relatives interviewed confirmed that they are notified and kept informed of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medication competent caregivers responsible for the administering of medications have completed annual medication competencies and annual medication education.  There are no standing orders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self-medicating rest home residents and two self-medicating hospital residents.  The self-medicating competency and monitoring was in place and the medications were securely stored in the resident’s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medication rooms with keypad access control.  The medication fridge and medication rooms have temperatures recorded daily and these were within acceptable ranges.  There is an agreement with the pharmacy.  The facility uses a robotics pack medication management system for the packaging of all tablets.  Eyedrops and other liquid medications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for all long-term residents.  The sixteen medication charts reviewed (eight hospital and eight rest home) had photo identification documented on the chart.  Not all residents’ files within the electronic medication charting system had the resident’s allergies documented.  All medication charts evidenced three monthly reviews by the GP.  Prescribed medication was signed after being administered as witnessed on the day of the audit.  All ‘as required’ medication prescribed had indications for use documented by the GP.  Effectiveness of ‘as required’ medication administered was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The service utilises a four weekly summer and winter menu that has been reviewed by the Bupa dietitian.  There is a full time cook, a second in charge cook and a relief chef.  There are two kitchenhands working each shift to support the cook.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lunch and dinner meals are plated in the kitchen.  Rest-home resident meals are served in the dining room adjacent to the kitchen, hospital residents’ meals are plated and placed in a hot box and serviced in the hospital dining room or in residents’ rooms.  Resident likes and dislikes are known, and alternative choices offered.  The residents have a nutritional profile developed on admission and the kitchen staff receive a copy, which identifies the residents’ dietary requirements and likes and dislikes.  Special diets include gluten free, diabetic and pureed meals.  The cook is notified of any residents with weight loss.  Protein drinks and fluids were available in the kitchenette fridges.  Lip plates and specialised utensils are provided to promote and maintain independence with meals.  Fridge, freezer and end cooked meat temperatures are taken and recorded daily.  Perishable foods sighted in the kitchen pantry were dated and stored in sealed containers.  Staff have received training in chemical safety.  Chemicals sighted were stored safely.  A signed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Resident meetings and surveys, along with direct input from residents, provides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entry to Bupa Tararu Rest Home and Hospital would be if the service is unable to provide the level of care required or there are no beds available.   Management communicate directly with the referring agencies and family/whānau as appropriate if entry was declined.  Potential residents would be referred to the referring agency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Bupa assessment booklets and person-centred templates for all residents on admission.  The assessment booklet includes falls, Braden pressure area, skin, mini nutritional, continence, pain activities and culture.  Nutritional and dietary requirements are also completed on admission.  Additional risk assessment tools include behaviour and wound assessments as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process is being implemented and ongoing interRAI assessments have been completed six monthly, or earlier due to health changes (link 1.3.3.3).  Resident needs and supports are identified through the ongoing assessment process in consultation with significant others as verified in the staff and family/whānau interviews.  InterRAI assessments, assessment notes and summary were in place for all resident files reviewed.  The outcomes of the assessments are reflected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developed from the initial admission assessment process and the needs identified by the registered nurse.  Comprehensive long-term care plans are individually developed and were reflective of the outcomes of the interRAI and risk assessment tools completed.  Long-term care plans are completed in consultation with the resident and/or family/whānau.  Residents and family members interviewed stated they were involved in the care planning process.  All long-term care plans reviewed were up to date.  Nursing diagnosis, goals and outcomes were identified.  Care plan interventions were individualised for each resident.  All long-term care plans reviewed recorded sufficient detail to guide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care plans were completed for all eight resident files.  Activity plans are reviewed six-monthly with the long-term care plans.  Residents have been seen by the GP at least three monthly or more frequently if required.  The GP recorded progress in the medical records and noted reviews on the resident’s medicine management charts.  Short-term care plans were being used for acute changes in health status and were evaluated on a regular basis and signed off as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eight care plans reviewed included interventions that reflected the resident’s current needs.  When a resident’s condition changes the RN initiates a GP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urinary continence assessment, bowel management, and continence products were identified.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and plans were in place for 36 wounds (19 skin tears, four chronic lesions, one leaking oedematous wound, two surgical wounds, one resident with multiple lesions, one ulcer and four pressure injuries).  Two pressure injuries were facility acquired and two pressure injuries were present on admission.  There was evidence of input from the wound care nurse, GP and nurse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reviewed included monthly and weekly weight charts, monthly vital signs, neurological observations post-unwitnessed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one activity coordinator for the rest home and hospital who works 37.5 hours (Monday to Friday) per week and one activities coordinator for the Day Club who works three days per week.  The activity coordinator is involved in the admission process, completing the initial activities assessment and has input with the cultural assessment, ‘map of life’ and ‘my day my way’ adding additional information as appropriate.  The activity programme covers activities across the rest home and hospital five days a week.  Over the weekends, the caregivers oversee the activities programme, entertainers visit and there is a weekly church service held on a Sunday with input from a variety of denominations.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has a first aid certificate and accompanies the residents on the van drives.  All activities plans were completed within timeframes, a monthly record of attendance to activities is maintained and evaluations are completed six-monthly.  A copy of the map of life and weekly activities programme is in the resident’s room.  The monthly and weekly programmes are displayed on noticeboards throughout the facility.  There are a general range of activities for all residents to join in and activities for more able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stated that the programme varies according to resident requests.  The activities team provides individual and group activities for all residents that includes catch and exercise with a beach ball, housie, bingo, skittles, quiz, and today in history sessions.  Weekly van outings include visits to the night lights, beaches, cafés and garden centres.  One-on-one activities include hand massages, individual walks, reading and chats for residents who are unable or choose not to be involved in group activities.  Community links are maintained with church groups, pre-schools, a day-care, schools and community entertainers.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resident and family meetings, where residents and their families have the opportunity to provide feedback on all aspects of the facility including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participating in exercise sessions and activities.  Residents and families interviewed were happy with the activities programme and content.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are reviewed and evaluated by the registered nurse at least six-monthly or more frequently to reflect changes in health status, in resident long-term files sampled.  Six monthly multi-disciplinary reviews (MDR) and meeting minutes are completed by the registered nurse with input from caregivers, the GP, the activity coordinator and any other relevant person involved in the care of the resident.  Family members are invited to attend the MDT review.  The review checklist identifies the family member who has attended the review.  There are short-term care plans available to focus on acute and short-term issues.  These are evaluated regularly and either resolved or added to the long-term care plan as an ongoing problem.  Wound care charts were evaluated in a timely manner.  Care plans were updated when needs change.</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Referrals to other health and disability services were evident in the sample group of residents’ files.  The service facilitates access to other medical and non-medical services.  Referral documentation is maintained on residents’ files.  Examples of referrals sighted were to physiotherapy and hospital specialists.  Discussions with the clinical manager, unit coordinator and registered nurses identified that the service has access to GPs, ambulance/emergency services, allied health, physiotherapy, and wound specialists for advice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place for the management of waste and hazardous substances.  Chemicals were correctly labelled and stored in locked cupboards throughout the facility.  Staff training on chemical safety, management of waste and hazardous substances was evidenced.  Safety datasheets and product wall charts are available to all staff.  Approved sharps containers were available and meet the hazardous substances regulations for containers.  Gloves, aprons, and goggles were available for staff.  Infection control policies state specific tasks and duties for which protective equipment is to be worn.  Staff were observed wearing appropriate personal protective clothing when carrying out their duties.  Cleaning staff took cleaning trolleys into the resident rooms or they were in their line of sight so that chemicals were not left unattended.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16 May 2020.  There is a full-time maintenance person who works from Monday to Friday and is on call after hours and on weekends.  There is a Bupa 52-week planned preventative and reactive maintenance programme in place.  The checking of medical equipment including hoists, has been completed annually.  Electrical testing and tagging have been completed annually.  The hot water temperatures are monitored weekly on a room rotation basis.  Temperatures were recorded between 39 –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living areas are carpeted, and vinyl surfaces exist in bathrooms/toilets and kitchen areas.  There is a rest home section with a large lounge and dining area and a hospital section, with a lounge and dining area.  The corridors are wide, with handrails which promote safe mobility with the use of mobility aids and transferring equipment.  Residents were observed moving freely around the facility with mobility aids, where required.  There was outdoor furniture and seating with shade sails in place and a ramp for wheelchair access to all external areas.  There is one designated smoking area for staff at the rear entrance.  The facility gardens were well maintained and easily accessible to all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caregivers interviewed stated that they have sufficient equipment referred to in care plans and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33 bedrooms that have full ensuites in the facility.  All residents’ bedrooms have hand basins.  There are adequate numbers of communal toilets and shower rooms with privacy locks.  There are communal toilets located close to communal areas in the rest home and hospital areas.  There is appropriate signage, easy clean flooring and fixtures, and handrails appropriately placed.  Locks indicate whether the communal toilet/showers are vacant or in use.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bedrooms are spacious enough to easily manoeuvre transferring and mobility equipment to safely deliver care.  Staff interviewed reported that rooms have sufficient space to allow cares to take place.  The bedrooms have wide doors for bed evacuation or ambulance trolley access.  Residents are encouraged to bring their own pictures, photos and small pieces of furniture to personalise their room.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lounges and two dining rooms.  All the dining rooms and lounges accommodate specialised lounge chairs as evidenced on the days of the audit.  There is a kitchenette, in the rest home section.  All lounge/dining rooms are accessible and accommodate the equipment required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Seating and space is arranged to allow both individual and group activities to occur.  There is adequate space to allow maximum freedom of movement while promoting safety for those that wander.  Residents were observed moving freely around the facility and the furniture is well-arranged to facilitate this.  Care staff assist or transfer residents to communal areas for dining and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including cleaning department, use of equipment policy and cleaning schedules.  There is a cleaning schedule/methods policy for cleaners.  All laundry and personal clothing are laundered on site.  There are dedicated laundry staff on duty daily.  There is a defined clean/dirty area within the laundry which also has an entry and exit door.  Chemicals are stored securely in the laundry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cleaners working seven days a week.  Cleaning products are colour coded, for example mop heads for each area.  Personal protective equipment is available in the laundry, cleaning and sluice room.  Staff were observed to be wearing appropriate protective wear when carrying out their duties.  The cleaners’ trolleys are stored in locked areas when not in use.  Both the laundry and cleaning staff have completed chemical safety training.  Cleaning and laundry staff were very knowledgeable around outbreak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in place.  There is a comprehensive civil defence and emergency procedures manual in place.  The civil defence kit is readily accessible in a storage cupboard.  The facility is well prepared for civil emergencies and has emergency lighting and gas BBQ.  The kitchen has both electric and gas power.  An adequate store of potable emergency water is kept.  An emergency food supply, sufficient for three days, is kept in the kitchen.  Extra blankets are also available.  There is a list of names and contact details of staff so that they can easily be contacted in an emergency.  At least three days stock of other products such as medicines, continence products and PPE are held on site.  There is a store cupboard of supplies necessary to manage an outbreak of infection.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staff available 24/7 with a current first aid certificate.  The facility is secured during the hours of darkness.  An external security firm monitors the facility overnight.  Appropriate training, information and equipment for responding to emergencies is provided.  Staff training in emergency management occurs.  Fire evacuation drills are held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available in all areas and there are indicator panels in each area.  During the tour of the facility residents were observed to have easy access to the call bells.  Residents spoken to stated that their bells are answered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and resident bedrooms are well ventilated and light.  The facility has radiator panels throughout the resident and communal areas.  On the day of the audit, air conditioners and fans were in use for cooling.  On the day of the audit the temperature of the facility was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Tararu has an established infection control programme.  The infection control programme, its content and detail, is appropriate for the size, complexity and degree of risk associated with the service.  It is linked into the RiskMan incident reporting system and reported to head office.  A registered nurse is the designated infection control coordinator who has been in the role for eight months.  The IC coordinator has a job description and is supported in the role by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by teleconference with all other infection control coordinators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Influenza vaccines are offered to residents and staff annually.  Visitors and family are advised not to visit if they are unwell.  There are hand sanitisers strategically placed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was a flu-like outbreak reported to public health August 2019 that affected eight residents and four staff.  A case log and outbreaks meetings were held during this time.  Toolbox talks were provided to staff following the outbreaks around review of processes and from learnings gained during the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has attended external infection control education.  There are monthly IC meetings which include discussion and reports on infection control data.   There were adequate resources to implement the infection control programme for the size and complexity of the organisation.  There is advice and support from the management team, expertise at head office, infection control consultant and infection control officer at the DHB.</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including outbreak boxes.  The infection control (IC) coordinator has maintained best practice by attending an external infection control &amp; prevention training day.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Bupa organisational infection control policies and procedures appropriate for the size and complexity of the service.  The infection control manual outlines a comprehensive range of policies, standards and guidelines and includes defining roles, responsibilities and oversight, infection control training and education of staff.  The policies were developed by the Bupa organisation management team and reviews/updates are distributed by head office.  Policies are discussed at staff meetings and are readily available in hard copy and on the intranet</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Annual infection control education including hand hygiene has occurred for all staff.  The infection control coordinator attends handovers and provides topical toolbox talks for staff on infections and infection control practice.  All new staff complete orientation which includes infection control and hand hygiene.  Staff complete infection control competencies.     </w:t>
            </w:r>
          </w:p>
          <w:p w:rsidR="00EB7645" w:rsidRPr="00BE00C7" w:rsidP="00BE00C7">
            <w:pPr>
              <w:pStyle w:val="OutcomeDescription"/>
              <w:spacing w:before="120" w:after="120"/>
              <w:rPr>
                <w:rFonts w:cs="Arial"/>
                <w:b w:val="0"/>
                <w:lang w:eastAsia="en-NZ"/>
              </w:rPr>
            </w:pPr>
            <w:r w:rsidRPr="00BE00C7">
              <w:rPr>
                <w:rFonts w:cs="Arial"/>
                <w:b w:val="0"/>
                <w:lang w:eastAsia="en-NZ"/>
              </w:rPr>
              <w:t>Visitors are advised not to attend until the outbreak has been revisited if unwell.  Information is provided to residents and visitors that is appropriate to their needs and this was documented in medical records.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 orientation package includes specific training around hand hygiene and standard precautions.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training is regularly held as part of the annual training schedule.  IC competencies and toolbox talks are also held.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Bupa infection control manual.  Surveillance of all infections is entered into a monthly infection summary.  The infection control coordinator provides infection control data, trends and relevant information to the quality risk team and clinical meetings.  Areas for improvement are identified, corrective actions developed and followed up.  This data is monitored and evaluated monthly at head office.  There are key performance indicators for all infection types.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    There is close liaison with the general practitioners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include definitions of restraint and enabler that are congruent with the definition in NZS 8134.0.  Restraint is discussed as part of staff/quality  meetings and in separate restraint meetings.  Documented systems are in place to ensure the use of restraint is actively minimised.  There were seven residents using restraints in the form of bed rails or a low bed and one resident using an enabler in the form of a bed rail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The coordinator described strategies around restraint minimisation and assists with staff education around restraint minimisation.  Staff interviews evidenced guidance has been given on restraint minimisation and safe practice (RMSP), enabler usage and prevention and/or de-escalation techniques.  Education and competencies on restraint minimisation are scheduled as part of the Bupa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Two residents’ files reviewed; one where an enabler was being used (bedrails) and one restraint file (low bed).  Both reflected an assessment and consent process had been completed with regular reviews.  Residents using an enabler are monitored for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(staff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RN in partnership with the GP, resident and their family/whānau.  Oversight is provided by the restraint coordinator.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Files for two residents were reviewed; one restraint and one enabler.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was linked to the resident’s restraint care plan including risks associated with use and care and monitoring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restraint audit, conducted annually,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monitored at pre-determined intervals depending on individual risk to that resident.  Staff were completing the monitoring forms accurately and within set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scheduled three-monthly and frequently occur with greater frequency (eg, two monthly).  Restraint use is discussed in a range of meetings (restraint meetings, staff meetings, RN meetings)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8"/>
        <w:gridCol w:w="1280"/>
        <w:gridCol w:w="5137"/>
        <w:gridCol w:w="2408"/>
        <w:gridCol w:w="1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home manager was able to explain the requirement to notify relevant bodies in relation to essential notifications.  The manager was also able to explain the incident and accident process on RiskMan.  One pressure injury which required an essential notification and incident form did not have this documented from April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stage three pressure injury (also part of a Health and Disability complaint from April 2019) has no incident form or section 31 report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pressure injuries have a documented incident form and section 31 reports are documented for pressure injuries stage three or greater.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medication charting system.  All medications are safely stored in secure rooms.  A medication round observed, evidenced that a safe and correct process is followed.  Allergies to medication were documented in resident’s paper-based files, not all allergies were documented in the electronic medication charting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medication charting system was in place.  Allergies had not been documented for six of the seventeen medication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allergies are documented on the electronic medication charting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files sampled had initial assessments, care plans, and long-term care plans in place.  All residents’ files sampled had interRAI assessments completed.  Not all initial interRAI assessments had been completed within the required timeframe.  Long-term care plans were completed within the required timeframe.  Routine interRAI assessments and six-monthly evaluations had been completed for the long-term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interRAI assessments had not been completed within the required timeframe for five of six ARC resident files sampled (these files were residents who had been admitted since the last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initial interRAI assessments are completed within the required timeframe.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Tararu Rest Home &amp; Hospital</w:t>
    </w:r>
    <w:bookmarkEnd w:id="58"/>
    <w:r>
      <w:rPr>
        <w:rFonts w:cs="Arial"/>
        <w:sz w:val="16"/>
        <w:szCs w:val="20"/>
      </w:rPr>
      <w:tab/>
      <w:t xml:space="preserve">Date of Audit: </w:t>
    </w:r>
    <w:bookmarkStart w:id="59" w:name="AuditStartDate1"/>
    <w:r>
      <w:rPr>
        <w:rFonts w:cs="Arial"/>
        <w:sz w:val="16"/>
        <w:szCs w:val="20"/>
      </w:rPr>
      <w:t>4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