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Chetty's Investment Limited - Alexander Lodge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Chetty's Investment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Alexander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Residential disability services - Psychiatric</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February 2020</w:t>
      </w:r>
      <w:bookmarkEnd w:id="7"/>
      <w:r w:rsidRPr="009418D4">
        <w:rPr>
          <w:rFonts w:cs="Arial"/>
        </w:rPr>
        <w:tab/>
        <w:t xml:space="preserve">End date: </w:t>
      </w:r>
      <w:bookmarkStart w:id="8" w:name="AuditEndDate"/>
      <w:r w:rsidR="00A4268A">
        <w:rPr>
          <w:rFonts w:cs="Arial"/>
        </w:rPr>
        <w:t>4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Alexander Lodge Rest Home (Alexander Lodge) provides rest home level care for up to 23 residents. The service is owned and operated by Chetty’s Investments Limited and managed by the owner/operator and a clinical nurse coordinator. The owner/manager is on site most days. </w:t>
      </w:r>
    </w:p>
    <w:p w:rsidRPr="00A4268A">
      <w:pPr>
        <w:spacing w:before="240" w:line="276" w:lineRule="auto"/>
        <w:rPr>
          <w:rFonts w:eastAsia="Calibri"/>
        </w:rPr>
      </w:pPr>
      <w:r w:rsidRPr="00A4268A">
        <w:rPr>
          <w:rFonts w:eastAsia="Calibri"/>
        </w:rPr>
        <w:t>The most significant change to the service since the previous audit, is the employment of a second registered nurse (RN).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agreements with the district health board and Ministry of Health.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This audit has resulted in a rating of continuous improvement for staff education. No areas of non-compliance with these standards were identified.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The complaint management process was known by staff, families and residents. There have been no complaints received since the previous surveillance audit in 2018.</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service.  </w:t>
      </w:r>
    </w:p>
    <w:p w:rsidRPr="00A4268A">
      <w:pPr>
        <w:spacing w:before="240" w:line="276" w:lineRule="auto"/>
        <w:rPr>
          <w:rFonts w:eastAsia="Calibri"/>
        </w:rPr>
      </w:pP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said they were satisfied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well described policies and procedures that support the minimisation of restraint. There were no enablers in use at the time of this audit and the service has never implemented a restraint intervention on a resident.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53"/>
        <w:gridCol w:w="1280"/>
        <w:gridCol w:w="89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Alexander Lodge has policies and procedures to meet their obligation in relation to the Code of Health and Disability Services Consumer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ongoing training as verified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provided relevant guidance to staff. Clinical files sampled showed that informed consent has been gained appropriately using the organisation’s standard consent form. These are signed by the enduring power of attorney (EPOA) or residents and the general practitioner makes a clinically based decision on resuscitation authorisation if required. Staff were observed to gain consent for day to day care. Interviews with relatives confirmed the service actively involves them in decisions that affect their family members’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and family/whanau are given a copy of the Code, which includes information on advocacy services. Posters and brochures related to the national advocacy service were displayed and available in the facility. Family members and residents interviewed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and friends. Family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clearly documented and effectively implemented complaints management process which meets the requirements of this standard, the provider’s contract and complies with right 10 of the Code. Interview with the manager, review of the complaints register and documents related to the complaints logged since the previous audit, showed there have been no complaints received since the previous surveillance audit in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clearly described what they would do in the event of someone wanting to lodge a complaint.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they had received written information about complaints in their entry packs and in their agreements. Residents said that they were reminded about their right to complain at regular residents’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consumer rights legislation, advocacy services and the complaints process are provided on admission and displayed at the reception. The Code is available in Maori and English. Family members and residents interviewed were aware of consumers’ rights and confirmed that information was provided to them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outlines the services provided. Resident agreements signed either by the resident or by an enduring power of attorney (EPOA) were sighted in records sampled. Service agreements meet the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privacy and dignity are respected. Staff were observed maintaining privacy. Residents are supported to maintain their independence with residents assessed as rest home level of care, able to move freely into the surrounding areas and in and out of the facility with no restrictions. 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and staff interviewed understood how to report such incidents if suspected or observed. The registered nurse (RN) reported that any allegations of neglect if reported would be taken seriously and immediately followed up. There were no documented incidents of abuse or neglect in the records sampled. The GP reiterated that there was no evidence of any abuse or neglect reported. Family/whanau and residents interviewed expressed no concerns regarding abuse, neglect or culturally unsafe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policies on cultural appropriateness are documented. Policies refer to the Treaty of Waitangi and partnership principles. The Maori Health plan includes a commitment to the principles of the Treaty of Waitangi and identifies barriers to access. It also recognises the importance of whanau. Assessments and care plans document any cultural/spiritual needs. Special consideration of cultural needs is provided in the event of death as outlined in the policy. The required activities and blessings are conducted when and as required. All staff receive cultural awareness training. There were residents who identify as Maori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care plan is developed to ensure that care and services are delivered in a culturally and/or spiritually sensitive manner in accordance with protocols/guidelines as recognised by the family/whanau. Values and beliefs are discussed and incorporated into the care plan. Family members and residents interviewed confirmed they are encouraged to be involved in the development of the long-term care plans. Residents’ personal preferences and special needs were included in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residents were free from any type of discrimination, harassment or exploitation and this was confirmed by the residents.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 The owner/manager and RN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ongoing professional development of staff. The general practitioner (GP) confirmed the service sought prompt and appropriate medical intervention when required and were responsive to medical requests. Staff reported they receive management support for external education and access their own professional networks to support contemporary good practice. Care staff are given an opportunity of doing case presentations which they stated were helping them to further research and understand residents condition better (refer 1.2.7.5).</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linked to evidence-based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is supported by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if required. Staff can provide interpretation as and when needed and the use of family members and communication cards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owner/manager confirmed the service holds agreements with the DHB for rest home level care under the Age-Related Residential Care Contract (ARRC), Respite Services, Long Term Support Chronic Health Conditions (LTS-CHC) and the Ministry of Health, Disability Support Services Outcome agreement for younger people with disabilities.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one of the 23 available beds were occupied on the first day of the audit. Eighteen residents were receiving rest home level care, and three residents were under the age of 65 years and assessed as having long term chronic health conditions having been referred by DHB Adult Mental Health Services. There is one male boarder onsite who resides in a downstairs apartment. This person does not receive any services from the care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risk and business plans have current goals which are being monitored for progress by the owner/manager and the RN. Regular reports on service delivery and organisational performance is shared with all staff at their 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The RN has extensive clinical experience in aged care. Her personnel file contained evidence of interRAI competency and ongoing performance development in subject areas related to the role. The owner/manager is continuing to attend seminars related to operating and managing age care facilities as confirmed by interview and records of attendance.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personnel files, interview with the manager, the nurse coordinator and other staff confirmed that the manager's role is filled by the clinical nurse coordinator during planned and unplanned absences. </w:t>
            </w:r>
          </w:p>
          <w:p w:rsidR="00EB7645" w:rsidRPr="00BE00C7" w:rsidP="00BE00C7">
            <w:pPr>
              <w:pStyle w:val="OutcomeDescription"/>
              <w:spacing w:before="120" w:after="120"/>
              <w:rPr>
                <w:rFonts w:cs="Arial"/>
                <w:b w:val="0"/>
                <w:lang w:eastAsia="en-NZ"/>
              </w:rPr>
            </w:pPr>
            <w:r w:rsidRPr="00BE00C7">
              <w:rPr>
                <w:rFonts w:cs="Arial"/>
                <w:b w:val="0"/>
                <w:lang w:eastAsia="en-NZ"/>
              </w:rPr>
              <w:t>The two RNs employed cover each other’s absences.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reporting and management of incidents and complaints, internal audits, a regular resident satisfaction survey, monitoring of outcomes, and infections. An ‘annual quality and stats report’ presents the number of hospital admissions, the number of resident discharges and admissions, quality improvement initiatives and results of internal audits. This report outlined how services and the treatment provided to residents is appropriate and readily available, and that risks to residents, staff and others are minimised.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management meetings and staff meetings. Staff reported their involvement in quality and risk management activities through audit activities and the quality data presented at their meetings. Relevant corrective actions are developed and implemented to address any shortfalls. Resident and family satisfaction surveys are completed annually. The most recent survey from December 2019, revealed no issues and a high level of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 pre audit review of these confirmed they were all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 owner described the processes for the identification, monitoring, review and reporting of risks and development of mitigation strategies. The manager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All incident records from 2019 reviewed showed that these were investigated and reviewed. There were 13 in total and none that required a remedial plan. Seven were falls with no significant injuries. Three drug errors reported were all pharmacy related. Adverse event data is collated, analysed and discussed at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understands the requirements for essential notification reporting.  They advised there have been no section 31 notifications of significant events made to the Ministry of Health, or other regulatory body since the previous audit.  Their DHB portfolio manager was advised by email about an issue involving a family member who had been trespassed from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Three care staff have completed level three of the National Certificate in Health and Wellbeing and the other four care staff are at level two. All staff have engaged in an annual performance appraisal. This meets the requirements of the provider’s agreement with the DHB.</w:t>
            </w:r>
          </w:p>
          <w:p w:rsidR="00EB7645" w:rsidRPr="00BE00C7" w:rsidP="00BE00C7">
            <w:pPr>
              <w:pStyle w:val="OutcomeDescription"/>
              <w:spacing w:before="120" w:after="120"/>
              <w:rPr>
                <w:rFonts w:cs="Arial"/>
                <w:b w:val="0"/>
                <w:lang w:eastAsia="en-NZ"/>
              </w:rPr>
            </w:pPr>
            <w:r w:rsidRPr="00BE00C7">
              <w:rPr>
                <w:rFonts w:cs="Arial"/>
                <w:b w:val="0"/>
                <w:lang w:eastAsia="en-NZ"/>
              </w:rPr>
              <w:t>There are now two registered nurses trained in and maintaining their annual competency to undertake interRAI assessments. Records reviewed verified the date of their required training and completion of ongoing competency.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All staff hold current first aid certificates and an RN is on call after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register is maintained of all current and past residents. Resident individual information is kept in paper and electronic format. The resident’s name, date of birth and National Health Index (NHI) number are used as the unique identifier on all residents’ information. All necessary demographic, personal, clinical and health information was fully completed in the residents’ files sampled. Clinical notes were current and integrated with the GP and allied health service provider notes. Written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Alexander Lodge’s welcome pack contains all the information about entry to the service. Assessments and entry screening processes are documented and clearly communicated to the residents, family/whanau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were conducted within the required time frames and are signed on entry. Family/whanau and residents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notification form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on the management of the medication system. All medication files sampled confirmed that they are reviewed as required and discontinued medications are signed and dated by the GP. Allergies are documented, identification photos are present and three-monthly reviews are completed. Medication charts were legibly written. The caregivers were observed administering medication correctly in their respective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reconciliation is conducted by the RNs when a resident is transferred back to the service. The service uses pharmacy pre-packed packs that are checked by the RNs on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 register was current and correct. Weekly, monthly and six-monthly stock takes are conducted, and all medications are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self-administering medication, such as inhalers, are assessed as competent to do so and medication was stored in a secure way. There is a policy and procedure for self-administration of medication. </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The medicines management system complies with legislation, protocols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an approved food plan for the service. Meals are prepared on site and served in the allocated dining rooms. The menu was due for review this month (February) by a registered dietitian to confirm it is appropriate to the nutritional needs of the residents. There is a four-weekly rotating winter and summer menu in place.</w:t>
            </w:r>
          </w:p>
          <w:p w:rsidR="00EB7645" w:rsidRPr="00BE00C7" w:rsidP="00BE00C7">
            <w:pPr>
              <w:pStyle w:val="OutcomeDescription"/>
              <w:spacing w:before="120" w:after="120"/>
              <w:rPr>
                <w:rFonts w:cs="Arial"/>
                <w:b w:val="0"/>
                <w:lang w:eastAsia="en-NZ"/>
              </w:rPr>
            </w:pPr>
            <w:r w:rsidRPr="00BE00C7">
              <w:rPr>
                <w:rFonts w:cs="Arial"/>
                <w:b w:val="0"/>
                <w:lang w:eastAsia="en-NZ"/>
              </w:rPr>
              <w:t>Residents’ food preferences are developed on admission which identifies dietary requirements, likes and dislikes and is communicated to the kitchen including any recent changes made. Diets are modified as required and the cook confirmed awareness on dietary needs required by the residents. Meals are served warm in sizeable portions required by residents and any alternatives are offered as required. The residents’ weights are monitored monthly and supplements are provided to residents with identified weight loss issues. Snacks and drinks are available for residents as and when required. The family members and residents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All food services staff have completed training in food safety/hygiene. The kitchen and pantry were clean, tidy and well stocked. Labels and dates were on all containers and records of food temperature monitoring, fridges and freezers temperatures are maintained. Regular cleaning is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reported that all residents who are declined entry are noted. Reasons for refusal are explained. When a resident is declined entry, family/whanau and the resident are informed of the reason for this and made aware of other options or alternative services available. The resident is referred to the referral agency to ensure that they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a needs assessment by the assessment agency. Initial nursing assessments are completed within the required time frame on admission while residents’ care plans and interRAI are completed within three weeks according to policy. Assessments and care plans were detailed and included input from the family/whanau, residents and other health team members as appropriate. Additional assessments are completed according to the need; these included pain, behavioural, falls risk, nutritional requirements, continence, skin and pressure assessments. The nursing staff utilised standardised risk assessment tools on admission. In interviews conducted, family/whanau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in consultation with the resident and/or family/whanau, inform the care plan and assist in identifying the required support to meet residents’ goals and desired outcomes. The care plans sampled were resident focused and individualised. Short term care plans are used for short-term needs. Family/whanau and residents interviewed confirmed they are involved in the care planning process. Residents’ files demonstrated service integration and evidence of allied healthcare professionals involved in the care of the resident such as the mental health services for older people, district nurses, physiotherapist, podiatrist, dietitian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are adequate to address the identified needs in the care plans. Significant changes are reported in a timely manner and prescribed orders carried out satisfactorily as confirmed by the GP. The GP reported that medical input is sought in a timely manner, that medical orders are followed, and care is person centred. Care staff confirmed that care is provided as outlined in the care plan. A range of equipment and resources are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appropriate to the needs, age and culture of the residents. The activities coordinator develops an activity planner and daily/weekly activities are posted on the notice boards. Residents’ files have a documented activity plan that reflects the resident ‘s preferred activities of choice and is counter signed by the RN. Over the course of the audit, residents were observed being actively involved with a variety of activities. Activity plans are reviewed at least six monthly or when there is any significant change in participation, and this is done in consultation with the RN. The activities vary from scrabble, bingo, music, movies, exercises/walking and church services every weekend. The activities coordinator reported that they have group activities and engage in one on one activities with some residents. Activities are modified according to abilities and cognitive function.</w:t>
            </w:r>
          </w:p>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and community connections are suitable for the residents. There are regular outings/drives, for all residents (as appropriate). Residents and family members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The registered nurses complete progress notes weekly and care staff every shift or as necessary. All noted changes by the care staff are reported to the RNs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interRAI reassessments to measure the degree of a resident’s response in relation to desired outcomes and goals, occur every six months or as a resident’s needs change. These are carried out by the RNs in conjunction with family, GP and specialist service providers. Where progress is different from expected, the service was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reviewed weekly or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are supported to access or seek referral to other health and/or disability service providers where required. If the need for other non-urgent services are indicated or requested, the GP and the nursing team sends a referral to seek specialist services assistance from the district health board (DHB).  Referrals are followed up on a regular basis by the registered nurses or the GP. The resident and the family are kept informed of the referral process, as verified by documentation and interviews. Acute or urgent referrals are attended to and the resident transferred to the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(BWOF) which expires on 09 February 2020 was publicly displayed. A site visit by the verifying agency for the BWOF had occurred and the provider is waiting for the paper-work. There have been no structural changes to the building since the previous audit. New flooring in the main corridor, bathroom refurbishments and interior painting have occurred.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the manager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were safely maintained and appropriate to the resident group and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adequate numbers of accessible bathroom and toilet facilities throughout the facility. Six of the downstairs bedrooms have a toilet attached and all rooms have a wash basin. Hot water temperatures are checked and recorded monthly. Documents showed that temperatures are all within the 45-degree Celsius threshold.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Two bedrooms are shared by two men, all the others are single accommodation. Approval for sharing is documented.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wheelchairs and mobility scooters. Staff and residents reported the adequacy of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and cleaning services are undertaken by care staff, which is suitable and manageable for the number of residents.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All staff have attended education about safe handling of chemicals as confirmed by interview with staff and review of their training records.  Chemicals were stored in a lockable cupboard and were in appropriately labelled containers. The provider of chemicals tests the effectiveness of the cleaning products each time they are on site.</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through resident feedback. For example, when residents suspected that the laundry powder in use was causing skin irritations, staff immediately switched to using a different product. Visual inspection revealed that all areas throughout the home were clean and hygienic.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scheme for the building and documents to show that trial fire evacuations are occurring at least six-monthly with a copy sent to the New Zealand Fire and Emergency Management Service. The most recent fire drill occurred on 09 December 2019 and a detailed report about the length of time it took to evacuate the building was recorded. The service keeps an updated list of all residents and their mobility or support needs in the event of an emergency.  A hard-wired fire suppression system (sprinklers and smoke detectors) is installed and exit signs are clearly displayed</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kit containing essential emergency supplies and equipment is on site and the contents are checked regularly. The facility is storing sufficient water and food for the needs of 23 residents for three plus days and has portable gas cookers and bar-b-que for cooking if required. This meets the Ministry of Civil Defence and Emergency Management recommendations for the region.</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functional, and staff were observed to respond to the bell immediately. Residents and family members stated staff were always attentive and responsive.</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manager and staff confirmed that security checks of all doors and windows occurs each day at dusk. There have been no security incidents since the previous audit in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electric heaters and opening windows and doors for air flow. Each bedroom had plenty of natural light. There were plenty of air circulating fans in use on the days of audit. Residents and families confirmed the environment is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programme to minimise the risk of infection to residents, staff and visitors. The programme is guided by a current infection control manual, with input from external specialists. The infection control programme is reviewed annually and is incorporated in the monthly meetings and a review of the education programme is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infection prevention and control coordinator (ICC), whose role and responsibilities are defined in a job description. Infection control matters, including surveillance results are reported monthly to the quality assurance manager and to the monthly staff and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provides guidance for staff on how long they must be away from work if they have been unwell. Staff interviewed understood these responsibilities. Vaccination is encouraged for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is information that covers aspects of infection control for family/whanau and if they are unwell; it is recommended that they do not visit the service. During higher risk times of community infections and winter months, notices are placed at the door to remind people not to visit if they are unwell. There is sanitising hand gel at the entrance and throughout the service. Hand washing and sanitiser dispensers are readily available around the facility.</w:t>
            </w:r>
          </w:p>
          <w:p w:rsidR="00EB7645" w:rsidRPr="00BE00C7" w:rsidP="00BE00C7">
            <w:pPr>
              <w:pStyle w:val="OutcomeDescription"/>
              <w:spacing w:before="120" w:after="120"/>
              <w:rPr>
                <w:rFonts w:cs="Arial"/>
                <w:b w:val="0"/>
                <w:lang w:eastAsia="en-NZ"/>
              </w:rPr>
            </w:pPr>
            <w:r w:rsidRPr="00BE00C7">
              <w:rPr>
                <w:rFonts w:cs="Arial"/>
                <w:b w:val="0"/>
                <w:lang w:eastAsia="en-NZ"/>
              </w:rPr>
              <w:t>No infection outbreak has been reported since the previous audit. Information on the management of the novel coronavirus was readily available for staff and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(ICC) has appropriate skills, knowledge and qualifications for the role and has attended specific education related to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Additional support and information are accessed from an external infection control agency, the infection control team at the DHB and the GP as required. The coordinator has access to residents’ records and diagnostic results to ensure timely treatment and resolution of any infections. The coordinator confirmed the availability of resources and external specialists to support the programme and any potential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The policies and procedures are developed by the organisation with advice from external specialists. Policies were last reviewed in October 2019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and other specialist consultants. The infection control coordinator attended infection prevention and control training conducted by an external consultant to keep their knowledge current. A record of attendance is maintained and was sighted. The training education information pack is detailed and meets best practice and guidelines. External contact resources included the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implemented. Staff interviewed reported that they were informed of infection rates at monthly staff meetings and through compiled reports. The GP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Alexander Lodge is maintaining its philosophy and practice of being a restraint free environment but has policies in the event that a restraint may be required. The restraint minimisation and safe practice policy contains definitions and information that is congruent with the requirements of this standard. It states that the only approved restraints would be lap belts and bed sides. Policy includes processes for assessment, approval and consent, monitoring and review, evaluation and staff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restraints or enablers in use during this audit.  One resident who had been using a ‘T bar’ to assist with getting out of bed, as an enabler, no longer uses this.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and information in relation to restraint and enabler use is ongoing. Information about the restraint policy is provided to new staff during orientation and reminders about restraint or enabler use is mentioned at monthly staff meetings. The staff interviewed could clearly differentiate between a restraint and an enabler and understood their responsibilities in regard to safe use of restraints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4290"/>
        <w:gridCol w:w="69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service education sessions are held every four weeks on topics related to care of older people. The content of each education session is documented, and each attendee completes a questionnaire related to the training to test their level of understanding. Training sessions are well attended. The owner /manager provides for all staff to maintain their first aid certificates and supports the RNs to maintain their nursing portfolios by attending external training or conferences.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were offered the opportunity to research and prepare a case study on an individual resident (who was willing to participate) then present their findings at staff training. This initiative which started in 2019, has resulted in care staff demonstrating a deeper understanding about the resident’s condition, the purpose of their treatments and often the purpose behind a resident’s behaviour.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Offering care staff, the opportunity to undertake informal research about individual residents is resulting in improved relationships and communication between residents and staff. Residents said they appreciated the one on one time with care staff, and that they felt better understood and valued as an individual. Care staff said that increasing their knowledge helped them to relate in more meaningful ways with the resident, for example to converse about different topics they knew interested the resident and where needed, to better explain the necessity for a procedure to the person. Staff morale and their interest in further learning has increased which was verified by the results of the 2019 staff satisfaction survey and their discussions during performance appraisals.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Chetty's Investment Limited - Alexander Lodge Rest Home</w:t>
    </w:r>
    <w:bookmarkEnd w:id="58"/>
    <w:r>
      <w:rPr>
        <w:rFonts w:cs="Arial"/>
        <w:sz w:val="16"/>
        <w:szCs w:val="20"/>
      </w:rPr>
      <w:tab/>
      <w:t xml:space="preserve">Date of Audit: </w:t>
    </w:r>
    <w:bookmarkStart w:id="59" w:name="AuditStartDate1"/>
    <w:r>
      <w:rPr>
        <w:rFonts w:cs="Arial"/>
        <w:sz w:val="16"/>
        <w:szCs w:val="20"/>
      </w:rPr>
      <w:t>3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