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Tairua Residential Care Limited - Tairua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Tairua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Tairua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2019</w:t>
      </w:r>
      <w:bookmarkEnd w:id="7"/>
      <w:r w:rsidRPr="009418D4">
        <w:rPr>
          <w:rFonts w:cs="Arial"/>
        </w:rPr>
        <w:tab/>
        <w:t xml:space="preserve">End date: </w:t>
      </w:r>
      <w:bookmarkStart w:id="8" w:name="AuditEndDate"/>
      <w:r w:rsidR="00A4268A">
        <w:rPr>
          <w:rFonts w:cs="Arial"/>
        </w:rPr>
        <w:t>12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Tairua Residential Care can provide care for up to 44 residents requiring either rest home or hospital (medical or geriatric) level of care.  On the day of the audit, there were 42 residents in total.</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general manager is a registered nurse and is responsible for the clinical and operational management of the service along with a team of registered nurses.  </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provided at Tairua.  </w:t>
      </w:r>
    </w:p>
    <w:p w:rsidRPr="00A4268A">
      <w:pPr>
        <w:spacing w:before="240" w:line="276" w:lineRule="auto"/>
        <w:rPr>
          <w:rFonts w:eastAsia="Calibri"/>
        </w:rPr>
      </w:pPr>
      <w:r w:rsidRPr="00A4268A">
        <w:rPr>
          <w:rFonts w:eastAsia="Calibri"/>
        </w:rPr>
        <w:t>Three of the five shortfalls identified as part of the audit have been addressed.  These were around family communication, recruitment documentation and assessments.  There continues to be shortfalls around timeliness of initial interRAI assessments and care plan interventions.</w:t>
      </w:r>
    </w:p>
    <w:p w:rsidRPr="00A4268A">
      <w:pPr>
        <w:spacing w:before="240" w:line="276" w:lineRule="auto"/>
        <w:rPr>
          <w:rFonts w:eastAsia="Calibri"/>
        </w:rPr>
      </w:pPr>
      <w:r w:rsidRPr="00A4268A">
        <w:rPr>
          <w:rFonts w:eastAsia="Calibri"/>
        </w:rPr>
        <w:t xml:space="preserve">This audit has identified further areas requiring improvement around essential notifications, orientation, appraisals, medication management, food safety management, and wound care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Families are regularly updated of residents’ condition including any acute changes or incidents.  Complaints processes are implemented and managed in line with the Code.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quality and risk management plan in place which defines the scope, direction and objectives of the service and the monitoring and reporting processes.  The service is managed by the general manager who is a registered nurse with a current practising certificate.  </w:t>
      </w:r>
    </w:p>
    <w:p w:rsidRPr="00A4268A">
      <w:pPr>
        <w:spacing w:before="240" w:line="276" w:lineRule="auto"/>
        <w:rPr>
          <w:rFonts w:eastAsia="Calibri"/>
        </w:rPr>
      </w:pPr>
      <w:r w:rsidRPr="00A4268A">
        <w:rPr>
          <w:rFonts w:eastAsia="Calibri"/>
        </w:rPr>
        <w:t xml:space="preserve">The framework around a quality and risk management system is documented.  There are a range of policies and forms in place to guide practice.  Quality outcomes data is collected with a process in place to record adverse events.  </w:t>
      </w:r>
    </w:p>
    <w:p w:rsidRPr="00A4268A">
      <w:pPr>
        <w:spacing w:before="240" w:line="276" w:lineRule="auto"/>
        <w:rPr>
          <w:rFonts w:eastAsia="Calibri"/>
        </w:rPr>
      </w:pPr>
      <w:r w:rsidRPr="00A4268A">
        <w:rPr>
          <w:rFonts w:eastAsia="Calibri"/>
        </w:rPr>
        <w:t xml:space="preserve">The human resource management system is documented.  </w:t>
      </w:r>
    </w:p>
    <w:p w:rsidRPr="00A4268A">
      <w:pPr>
        <w:spacing w:before="240" w:line="276" w:lineRule="auto"/>
        <w:rPr>
          <w:rFonts w:eastAsia="Calibri"/>
        </w:rPr>
      </w:pPr>
      <w:r w:rsidRPr="00A4268A">
        <w:rPr>
          <w:rFonts w:eastAsia="Calibri"/>
        </w:rPr>
        <w:t xml:space="preserve">There is a documented rationale for determining staff levels and staff mix in order to provide safe service delivery in the rest home and hospital.  An appropriate number of skilled and experienced staff are allocated each shift with a full complement of registered nurses now in place.  </w:t>
      </w:r>
    </w:p>
    <w:p w:rsidRPr="00A4268A">
      <w:pPr>
        <w:spacing w:before="240" w:line="276" w:lineRule="auto"/>
        <w:rPr>
          <w:rFonts w:eastAsia="Calibri"/>
        </w:rPr>
      </w:pPr>
      <w:r w:rsidRPr="00A4268A">
        <w:rPr>
          <w:rFonts w:eastAsia="Calibri"/>
        </w:rPr>
        <w:t xml:space="preserve">Resident information is stored securely.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demonstrated service integration and are evaluated at least six monthly.  Resident files include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caregivers are responsible for administration of medicines and complete annual education and medication competencies.  </w:t>
      </w:r>
    </w:p>
    <w:p w:rsidRPr="00A4268A" w:rsidP="00621629">
      <w:pPr>
        <w:spacing w:before="240" w:line="276" w:lineRule="auto"/>
        <w:rPr>
          <w:rFonts w:eastAsia="Calibri"/>
        </w:rPr>
      </w:pPr>
      <w:r w:rsidRPr="00A4268A">
        <w:rPr>
          <w:rFonts w:eastAsia="Calibri"/>
        </w:rPr>
        <w:t xml:space="preserve">The activity team provide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Residents with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Residents can freely mobilise within the communal areas with safe access to the outdoors, seating and shade.  Resident bedrooms are personalised.  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nine residents using restraints and one with an enabler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Information obtained through surveillance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9"/>
        <w:gridCol w:w="1280"/>
        <w:gridCol w:w="104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procedure is documented and follows Right 10 of the Code.  The complaints policy and procedure are explained by the staff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There are complaint forms available at the main entrance to the building.  The general manager manages resident complaints.  A resident complaints register is maintained as part of the Towards Improving Services (TIS) register.  There have been no complaints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Family and five residents (three rest home and two hospital) interviewed, stated that they have not had to complain formally, but stated that any suggestions are treated seriously, with improvements when appropriate.  Staff interviewed; one cook, one diversional therapist, four caregivers, and two registered nurses (RN) were able to describe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general manager, who is a registered nurse, confirmed family are kept informed.  Relatives (two hospital and three rest home) stated they are notified promptly of any incidents/accidents.  Residents/relatives have the opportunity to feedback on service delivery through annual surveys and open-door communication with management.  Two monthly resident meetings encourage open discussion around the services provided (meeting minutes sighted).  Seven ‘Towards Improving Services’ forms (TIS - accident/incident forms) reviewed, evidenced relatives are informed of any incidents/accidents, this is an improvement from the previous audit.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reported satisfaction with communication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through the district health board.  There are no residents requiring the use of interpreting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Tairua Residential Care has been in operation since April 2011 and is privately owned.  The service provides care for up to 44 residents at rest home and hospital level care.  There are 32 rest home level beds and 12 hospital level beds.   On the day of audit, there were 30 rest home residents (including one on an independent funding contract) and 12 hospital care residents (including one funded through ACC).  All other residents were under the age-related residential care services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mission statement and values are documented and known to staff, residents and family members.  The mission statement is ‘to assist residents, respectfully and with dignity; to safely enjoy life, love and laughter in their own way, time and space’.  The service has a business plan, which is reviewed annually.  The business plan identifies the purpose, values and scope of the business.  The service has quality goals, which have been reviewed regularly.  The general manager is a registered nurse who has significant experience in elderly care, she also undertakes the clinical leadership for the service supported by a team of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identify objectives for the service.  A quality plan is documented with goals, accountabilities, timeframes and measures to report against.  Monthly staff meetings review quality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Monthly staff meeting minutes sighted evidenced staff discussion around accident/incident data, health and safety, infection control, audit outcomes, concerns and survey feedback.  The service collates accident/incident and infection control data.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and aligns with the requirements of the Health and Disability Services (Safety) Act 2001.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The service has detailed emergency plans covering all types of emergency situations and staff receive ongoing training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on forms and enters them into a paper-based register.  The general manager collates all data and provides a monthly report which is discussed at the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TIS forms (incident forms) were reviewed.  All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The general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One TIS form was related to a fire.  The documentation evidenced that all appropriate actions were taken including calling the fire department.  The fire was successfully contained.  Following the incident, the fire system has been checked to ensure full compliance.  A section 31 notification was not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system in place for human resource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records reviewed included an employment agreement and a position description was on file.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with a current annual practicing certificate on file for registered nurses; the medical officer; physiotherapist and pharmacist.  An orientation process is documented, but not all have a documented orientation on file.  Performance appraisals have not all been completed for all staff who have been employed for 12 months or more.  Of the five staff files reviewed two were for newer staff.  Both these staff had documented reference checks and police vetting.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in charge on each shift.  Files of registered nurses reviewed hold current first aid certificates.  Other staff also have a first aid certificate with these including the cook and the diversional therapist.  There are seven registered nurses and three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that is implemented and attended routinely by most staff.  Attendance records are kept for each session with documentation of what is covered in each session.  Staff stated that they find the training relevant to their roles.  Some sessions are facilitated by a registered nurse and at times, there are sessions facilitated by specialists from the district health board or other providers such as Hospice. </w:t>
            </w:r>
          </w:p>
          <w:p w:rsidR="00EB7645" w:rsidRPr="00BE00C7" w:rsidP="00BE00C7">
            <w:pPr>
              <w:pStyle w:val="OutcomeDescription"/>
              <w:spacing w:before="120" w:after="120"/>
              <w:rPr>
                <w:rFonts w:cs="Arial"/>
                <w:b w:val="0"/>
                <w:lang w:eastAsia="en-NZ"/>
              </w:rPr>
            </w:pPr>
            <w:r w:rsidRPr="00BE00C7">
              <w:rPr>
                <w:rFonts w:cs="Arial"/>
                <w:b w:val="0"/>
                <w:lang w:eastAsia="en-NZ"/>
              </w:rPr>
              <w:t>Medicines are given by registered nurses and caregivers who have been assessed as competent.  Staff participate in meetings and confirmed that they are kept up to date on changes occurring within the service or matters of concern through handover and open dialogue with the general manager and the clinical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resources policy determines staffing levels and skill mixes for safe service delivery.  A roster provides sufficient and appropriate coverage for the effective delivery of care and support.  Residents and relatives stated there were adequate staff on duty at all times.  Staff stated they feel supported by the RNs and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wing (12 beds with 12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RN for each shift.</w:t>
            </w:r>
          </w:p>
          <w:p w:rsidR="00EB7645" w:rsidRPr="00BE00C7" w:rsidP="00BE00C7">
            <w:pPr>
              <w:pStyle w:val="OutcomeDescription"/>
              <w:spacing w:before="120" w:after="120"/>
              <w:rPr>
                <w:rFonts w:cs="Arial"/>
                <w:b w:val="0"/>
                <w:lang w:eastAsia="en-NZ"/>
              </w:rPr>
            </w:pPr>
            <w:r w:rsidRPr="00BE00C7">
              <w:rPr>
                <w:rFonts w:cs="Arial"/>
                <w:b w:val="0"/>
                <w:lang w:eastAsia="en-NZ"/>
              </w:rPr>
              <w:t>AM: There are three caregivers.</w:t>
            </w:r>
          </w:p>
          <w:p w:rsidR="00EB7645" w:rsidRPr="00BE00C7" w:rsidP="00BE00C7">
            <w:pPr>
              <w:pStyle w:val="OutcomeDescription"/>
              <w:spacing w:before="120" w:after="120"/>
              <w:rPr>
                <w:rFonts w:cs="Arial"/>
                <w:b w:val="0"/>
                <w:lang w:eastAsia="en-NZ"/>
              </w:rPr>
            </w:pPr>
            <w:r w:rsidRPr="00BE00C7">
              <w:rPr>
                <w:rFonts w:cs="Arial"/>
                <w:b w:val="0"/>
                <w:lang w:eastAsia="en-NZ"/>
              </w:rPr>
              <w:t>Rest home wing (32 beds with 30 residents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RN for the AM shift four days a week.</w:t>
            </w:r>
          </w:p>
          <w:p w:rsidR="00EB7645" w:rsidRPr="00BE00C7" w:rsidP="00BE00C7">
            <w:pPr>
              <w:pStyle w:val="OutcomeDescription"/>
              <w:spacing w:before="120" w:after="120"/>
              <w:rPr>
                <w:rFonts w:cs="Arial"/>
                <w:b w:val="0"/>
                <w:lang w:eastAsia="en-NZ"/>
              </w:rPr>
            </w:pPr>
            <w:r w:rsidRPr="00BE00C7">
              <w:rPr>
                <w:rFonts w:cs="Arial"/>
                <w:b w:val="0"/>
                <w:lang w:eastAsia="en-NZ"/>
              </w:rPr>
              <w:t>AM: There are three caregivers.</w:t>
            </w:r>
          </w:p>
          <w:p w:rsidR="00EB7645" w:rsidRPr="00BE00C7" w:rsidP="00BE00C7">
            <w:pPr>
              <w:pStyle w:val="OutcomeDescription"/>
              <w:spacing w:before="120" w:after="120"/>
              <w:rPr>
                <w:rFonts w:cs="Arial"/>
                <w:b w:val="0"/>
                <w:lang w:eastAsia="en-NZ"/>
              </w:rPr>
            </w:pPr>
            <w:r w:rsidRPr="00BE00C7">
              <w:rPr>
                <w:rFonts w:cs="Arial"/>
                <w:b w:val="0"/>
                <w:lang w:eastAsia="en-NZ"/>
              </w:rPr>
              <w:t>Rest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caregivers for the PM shift with an additional activities’ person 10 am to 6 pm for the rest home.  There is one caregiver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lives close by and is on call at all times.  Staff stated that the general manager responds immediately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member on duty on each shift,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 that follows recognised standards and guidelines for safe medicine management.  All residents have individual medication orders with photo identification and allergy status documented.  All medicines are stored securely when not in use.  However, not all stored medication was within date.  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registered nurse and senior caregivers with medication administration responsibilities.  Administration sheets sampled were not all appropriately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identified that the GP had seen the resident three-monthly.  A caregiver was observed administering medications and followed correct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self-medicating on the day of audit.  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service are prepared and cooked on site.  The kitchen was observed to be clean, but all aspects of food management were not in place.  All temperatures were monitored including fridges, freezer and meals on serving.  The menu had been reviewed by a dietitian in 2018.  The service does not currently have an approved food control plan.  The service advised that they have applied for the assessment.  Kitchen staff have been trained in safe food handling.  Staff were observed delivering meals and assisting residents with their lunchtime meals as required.  Diets were modified as required.  Resident dietary profiles and likes and dislikes were known to food services staff and any changes were communicated to the kitchen via the registered nurse.  Resident meetings and surveys allowed for the opportunity for resident feedback on the meals and food services generally.  Interviews with residents and family members indicated satisfaction with the food service.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and care plan on admission, including a clinical risk assessment and relevant risk assessment tools (link to 1.3.3.3 for timeliness of interRAI assessments).  Resident needs and supports were identified through available information such as discharge summaries, medical notes and in consultation with significant others.  All resident files reviewed had a current interRAI assessment and care plan.  This is an improvement from the previous audit.  There were no respite residents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evidenced resident and family/whānau involvement in the care plan process.  Relatives interviewed confirmed they are involved in the care planning process.  Resident files demonstrated service integration.  Discussion with relatives and observation on the day of audit confirmed that care is appropriate for resident needs and provided in a timely and caring manner.  There was evidence of allied health care professionals involved in the care of the resident including: physiotherapist, podiatrist, and dietitian, wound care nurse specialist and older person’s mental health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did not include all care and support as documented in interRAI assessments, progress notes or other assessments.  Short-term care plans are used for changes to health status and sighted in resident files but were medically oriented and did not include specific nursing care.  Care plan interventions to meet all assessed needs is a continued shortfall from the previous audit.  Handovers evidenced that in-depth resident information is discussed to ensure safe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in the progress notes of family/whānau contact in each resident file that indicates family were involved in care planning.  Discussions with families confirmed they are aware of the care and support provided.  The GP confirmed on interview that care interventions are appropriate and that GP instruction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The service had fourteen wounds logged onto the register this included; skin tears, a healing ulcer and five pressure injuries.  Wound care documentation and timeliness for wound dressings are an area for improvement.  There is evidence of the wound nurse specialist involvement in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identified in resident files and include a urinary continence assessment, bowel management, and continence products identified.  There is access to a continence nurse specialist by referral.  Nutritional requirements and assessments are completed on admission, identifying resident nutritional status and preferences.  Monitoring forms are used for weight, vital signs, blood sugar levels, pain, challenging behaviour, food and fluid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employs one diversional therapist and activity coordinator and two part-time support activities staff members.  The programme is planned monthly and activities planned on the day were displayed on noticeboards around the facility.  Resident files included a personalised activities assessment and plan.  The programme is Monday to Friday and integrated to meet the physical and psychosocial wellbeing of the residents.  The programme includes; outdoor garden activities, including garden walks, poetry reading, exercises for both the less mobile and the more active, a daily walking group (volunteers assist so that residents in wheelchairs can come along).  There are regular outings into the community.  The service has a van for regular outings.  One-on-one activities such as individual walks, reading and chats and hand massage occur for residents who choose not to be involved in group activities.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An activities resident profile is completed on admission.  Individual activity plans were seen in long-term resident files.  The activity team is involved in the six-monthly review with the RN.  The service receives feedback and suggestions for the programme through monthly resident meetings and direct feedback from residents and families.  Residents and families interviewed said the activities programme was very good.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are undertaken using the interRAI tool or updated through the care plan process.  The GP reviews the residents at least three monthly or earlier if required.  The ACC resident had documented evaluation though the ACC team.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23 September 2020.  The service employs a maintenance person.  Daily maintenance requests are addressed.  There is an annual maintenance plan, which includes six monthly building compliance checks, (eg, hot water temperature, call bells, resident equipment and safety checks).  Medical equipment and electrical appliances have been tested and tagged and calibrated.  Essential contractors are available 24-hours.  The facility has wide corridors with sufficient space for residents to safely mobilise using mobility aids.  There is safe access to the outdoor areas and courtyards on the ground floor.  There is a designated outdoor smoking area.  Seating and shade 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is reported at the monthly staff meetings.  Data and graphs of infection events are available to staff.  Trends are identified, analysed and preventative measures put in place.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there have been no outbreaks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use of enablers and restraint.  The process of assessment, care planning, monitoring and evaluation of restraint and enabler use is documented.  There is one resident with bedrail enablers at the service and nine residents using bedrail restraint at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One resident record was reviewed for a resident using an enabler and one for a restraint.  Both care plans included an assessment and the care plan referred to the use of the enabler or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9"/>
        <w:gridCol w:w="1280"/>
        <w:gridCol w:w="3397"/>
        <w:gridCol w:w="4713"/>
        <w:gridCol w:w="21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Towards improving services, forms are completed and followed up.  One incident form documented a fire in a resident room.  All appropriate actions were taken at the time and follow up included a review of the fire safety system.  Notification to the ministry of health was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in a resident room was not notified to the ministry of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essential notifications are completed and sent.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orientation and induction of all new staff.  Of the five staff files reviewed, two were for new staff, one did not have a documented orientation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new caregiver did not have a documented orientation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new staff receive a documented orientation when first employed at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around human resource practices, including the need for an annual appraisal for all staff.  Not all staff have a documented appraisal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five staff files reviewed, four had been employed over a year.  Three of the files for staff employed over a year did not have an up to date appraisal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have a documented annual appraisal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to safety manage medication storage and prescribing and administration.  GPs prescribe all medications.  Medication charts included the date started for all medications and stopped where relevant.  All charts sampled were legible and had been reviewed three-monthly.  Not all stored medications were within date and not all medication had been signed for on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medication cupboard contained out-of-date medication.  (ii).  Two of ten medication charts reviewed included instances of medication not signed for on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medications are within date.  (ii).  Ensure that all medications are signed for on administration.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meals well presented.  The service has applied for a food control plan assessment and this has yet to be completed.  Not all aspects of food control and kitchen management were being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Food temperatures were not monitored and recorded.  (ii).  Bulk food was not all dated and labelled in the larder, not all food was dated and labelled in the chiller and food was not all dated on opening.  (iii).  Bins in the kitchen had no lid.  (iv).  Food control plan has not been verified.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temperatures are monitored and documented.  (ii) Ensure food is dated and labelled; (iii) Ensure bins are covered; (iv).  Ensure the food control plan is verified.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three interRAI trained staff.  New residents have not all had the initial interRAI assessment within timeframes.  Ongoing interRAI assessments have been completed six monthly or sooner if a significant change in condition.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interRAI assessments have not been documented according to set timeframes for one rest home and one hospital level residents’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initial interRAI assessments are documented according to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have a documented care plan in place.  Care staff interviewed were very knowledgeable regarding care and support needs for the residents.  Both residents and relatives felt that the care was very good.  Care interventions were not documented for all aspects of care including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Interventions to manage identified behaviours that challenge for one rest home and one hospital level care resident were not well documented.  (ii).  One rest home resident did not have interventions to reflect MRSA colonisation of a wound.  (iii).  One hospital level resident had falls reflected in the care plan, but interventions to minimise falls were not well documented.  (iv).  One resident has a short-term care plan in place for a urinary tract infection, however the plan only included the medical aspects of care (antibiotics), not any nursing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resident need and provide care interventions to manage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procedures and templates in place for the documentation of wound management.  Links to wound specialists were documented as needed and all residents with a pressure injury had nutrition considered as part of care planning.  Wound care documentation was identified as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with two pressure injuries had one wound assessment, plan, and evaluation for the both of them</w:t>
            </w:r>
          </w:p>
          <w:p w:rsidR="00EB7645" w:rsidRPr="00BE00C7" w:rsidP="00BE00C7">
            <w:pPr>
              <w:pStyle w:val="OutcomeDescription"/>
              <w:spacing w:before="120" w:after="120"/>
              <w:rPr>
                <w:rFonts w:cs="Arial"/>
                <w:b w:val="0"/>
                <w:lang w:eastAsia="en-NZ"/>
              </w:rPr>
            </w:pPr>
            <w:r w:rsidRPr="00BE00C7">
              <w:rPr>
                <w:rFonts w:cs="Arial"/>
                <w:b w:val="0"/>
                <w:lang w:eastAsia="en-NZ"/>
              </w:rPr>
              <w:t>(ii).  One identified pressure injury that had previously healed, and had broken down again had no current wound care plan</w:t>
            </w:r>
          </w:p>
          <w:p w:rsidR="00EB7645" w:rsidRPr="00BE00C7" w:rsidP="00BE00C7">
            <w:pPr>
              <w:pStyle w:val="OutcomeDescription"/>
              <w:spacing w:before="120" w:after="120"/>
              <w:rPr>
                <w:rFonts w:cs="Arial"/>
                <w:b w:val="0"/>
                <w:lang w:eastAsia="en-NZ"/>
              </w:rPr>
            </w:pPr>
            <w:r w:rsidRPr="00BE00C7">
              <w:rPr>
                <w:rFonts w:cs="Arial"/>
                <w:b w:val="0"/>
                <w:lang w:eastAsia="en-NZ"/>
              </w:rPr>
              <w:t>(iii). The timeframes for dressings and the time when dressing had been undertaken was inconsistently documented.  Staff were able to explain when dressing should be undertaken, but this was not clear in the wound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is a care plan for each wound.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identified wounds have a current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 timeframes for dressings/evaluations are documented along with the date of the intervention.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Tairua Residential Care Limited - Tairua Residential Care</w:t>
    </w:r>
    <w:bookmarkEnd w:id="58"/>
    <w:r>
      <w:rPr>
        <w:rFonts w:cs="Arial"/>
        <w:sz w:val="16"/>
        <w:szCs w:val="20"/>
      </w:rPr>
      <w:tab/>
      <w:t xml:space="preserve">Date of Audit: </w:t>
    </w:r>
    <w:bookmarkStart w:id="59" w:name="AuditStartDate1"/>
    <w:r>
      <w:rPr>
        <w:rFonts w:cs="Arial"/>
        <w:sz w:val="16"/>
        <w:szCs w:val="20"/>
      </w:rPr>
      <w:t>11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