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Jane Winstone Retirement Village Limited - Jane Winstone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Jane Winstone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Jane Winstone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2019</w:t>
      </w:r>
      <w:bookmarkEnd w:id="7"/>
      <w:r w:rsidRPr="009418D4">
        <w:rPr>
          <w:rFonts w:cs="Arial"/>
        </w:rPr>
        <w:tab/>
        <w:t xml:space="preserve">End date: </w:t>
      </w:r>
      <w:bookmarkStart w:id="8" w:name="AuditEndDate"/>
      <w:r w:rsidR="00A4268A">
        <w:rPr>
          <w:rFonts w:cs="Arial"/>
        </w:rPr>
        <w:t>3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Jane Winstone is part of the Ryman Group of retirement villages and aged care facilities.  The service provides rest home, hospital and dementia level care for up to 89 residents.  On the days of the audit there were 64 residents receiving care in the care centre and no residents at rest home level in the serviced apartments.  The village manager (an ex-registered nurse) had been in the role seven weeks and supported by an assistant village manager and a clinical manager.  The management team are supported by a regional manager and support staff at head office.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 xml:space="preserve">This audit identified areas of improvement required around interventions and implementation. </w:t>
      </w:r>
    </w:p>
    <w:p w:rsidRPr="00A4268A">
      <w:pPr>
        <w:spacing w:before="240" w:line="276" w:lineRule="auto"/>
        <w:rPr>
          <w:rFonts w:eastAsia="Calibri"/>
        </w:rPr>
      </w:pPr>
      <w:r w:rsidRPr="00A4268A">
        <w:rPr>
          <w:rFonts w:eastAsia="Calibri"/>
        </w:rPr>
        <w:t xml:space="preserve">Continuous improvements were identified around the quality programme and infection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village manager, assistant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are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information package for residents/relatives on admission to the service.  The registered nurses’ complete assessments, care plans and evaluations within the required timeframe.  Care plans demonstrate service integration.  Resident and family interviewed confirmed they were involved in the care plan process and review.  The general practitioner completes admission visits and reviews the residents at least three monthly.</w:t>
      </w:r>
    </w:p>
    <w:p w:rsidRPr="00A4268A" w:rsidP="00621629">
      <w:pPr>
        <w:spacing w:before="240" w:line="276" w:lineRule="auto"/>
        <w:rPr>
          <w:rFonts w:eastAsia="Calibri"/>
        </w:rPr>
      </w:pPr>
      <w:r w:rsidRPr="00A4268A">
        <w:rPr>
          <w:rFonts w:eastAsia="Calibri"/>
        </w:rPr>
        <w:t xml:space="preserve">The activity team provides an activities programme in the rest home and hospital and a separate programme in the dementia care unit.  The Engage programme meets the abilities and recreational needs of the groups of residents.  The programme is varied and involves community visitors.  There were individualised 24-hour activity plans for residents in the dementia care unit.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project delicious menu is designed by a dietitian at an organisational level.  All baking and meals are cooked on site.  Individual and special dietary needs are accommodated.  Nutritious snacks are available 24-hours in the dementia care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is a preventative and planned maintenance schedule in place.  Chemicals were stored safely throughout the facility.  All bedrooms are single occupancy with ensuites.  There was sufficient space to allow the movement of residents around the facility.  The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 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six residents assessed as requiring the use of restraint and two residents using an enabler.  The restraint coordinator maintains a register.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 integrated meetings with the health and safety team.  The infection prevention and control register is used to document all infections.  A monthly infection control report is completed and forwarded to head office for analysis and benchmarking.  A six-monthly comparative summary is completed.  The service has had four outbreaks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64"/>
        <w:gridCol w:w="1280"/>
        <w:gridCol w:w="100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assistant village manager, clinical manager/RN, operations quality manager, and 13 clinical staff (five caregivers who cover the rest home and hospital, three registered nurses (RNs), three unit coordinators, one activities coordinator and one diversional therapist) confirmed their familiarity with the Code. Non-clinical staff including; two laundry staff, one chef, one housekeeper and a maintenance person were also familiar with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seven residents (five rest home including; one respite resident and two hospital; including one funded through interim funding) and five relatives (two rest home, two hospital including one interim funding and one with a relative in the secure dementia unit) confirmed that the services being provided are in line with the Code.  The Code is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are signed for by the resident or their enduring power of attorney (EPOA).  Consents are signed for specific procedures such influenza vaccines and indwelling catheters.  Advanced directives where available are kept in the resident files.  Resuscitation status is made by the competent resident.  There is evidence of discussion with family when the GP completes a clinically indicated not for resuscitation order for residents deemed to be incompetent.  Caregivers and registered nurses interviewed confirmed verbal consent is obtained when delivering care.  Discussion with family members identified that the service actively involves them in decisions that affect their relative’s lives.  Two dementia care resident files identified the EPOA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Eight resident files reviewed (two dementia, three hospital including one resident for intermediate care and three rest home residents including one respite care)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included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programmes included opportunities to attend events outside of the facility including activities of daily living, such as shopping.  There is an on-site shop and hairdresser available.  Residents are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Sixteen complaints have been lodged in 2019 (year-to-date) including one complaint received via the Health and Disability advocate.  Verbal and written complaints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had a noted investigation, timelines determined by HDC were met, and corrective actions (where indicated) were actioned.  All complaints were documented as resolved.  </w:t>
            </w:r>
          </w:p>
          <w:p w:rsidR="00EB7645" w:rsidRPr="00BE00C7" w:rsidP="00BE00C7">
            <w:pPr>
              <w:pStyle w:val="OutcomeDescription"/>
              <w:spacing w:before="120" w:after="120"/>
              <w:rPr>
                <w:rFonts w:cs="Arial"/>
                <w:b w:val="0"/>
                <w:lang w:eastAsia="en-NZ"/>
              </w:rPr>
            </w:pPr>
            <w:r w:rsidRPr="00BE00C7">
              <w:rPr>
                <w:rFonts w:cs="Arial"/>
                <w:b w:val="0"/>
                <w:lang w:eastAsia="en-NZ"/>
              </w:rPr>
              <w:t>The complaint via the Health and Disability advocate included an investigation and a reply to the complainant as advised by the advocate.  The complaint has been documented as closed by the service and the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The service has reviewed the complaints for trends, however there were no identifiable trends seen.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information pack, that includes information about the Code and the nationwide advocacy service is given to prospective residents and families.  There is the opportunity to discuss aspects of the Code during the admission process.  Residents and relatives interviewed confirmed that information around the Code had been provided to them.  Large print posters of the Code and advocacy information are displayed throughout the facility.  The village manager or the assistant village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which align with requirements of the Privacy Act and Health Information Privacy Code.  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family members interviewed confirmed that staff promote the residents’ independence wherever possible and that residents’ choices are encouraged.  Staff have undertaken annual training on abuse and neglect during June 2019 with very good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the district health board Māori health directorate.  Cultural needs were addressed in the care plan of one resident who identified as Māori.  Team meetings document cultural considerations including Māori language week in TeamRyman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Discussions with staff confirmed that they are aware of the need to respond to the cultural needs of the residents.  All residents at the facility were able to speak and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Full TeamRyman meetings occur monthly and include discussions on professional boundaries and concerns as they arise.  Management provided guidelines and mentoring for specific situations.  Interviews with the managers, registered nurses and caregivers confirmed an awareness of professional boundaries.  Caregivers could discuss professional boundaries in respect of gifts.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policies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 hours a day.  The service receives support from the district health board which includes visits from specialists (eg, wound care, mental health) and staff education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worked to improve services for residents and has implemented a number of quality programmes (link 1.2.3.6); these have included; i) Falls minimisation.  This project included (but not limited to) education, medication review, physiotherapist input to mobilisation needs for at risk and frequent fallers and review of equipment.  The outcome saw reducing rates of falls in the special care unit and falls remaining below the Ryman upper limit.  ii)  A project around reducing bruises and improving skin care to residents included; in-depth analysis of trends, a review of equipment and obtaining additional equipment as needed, staff education, discussion at staff meetings and working with staff around care plan interventions and best practice care provision.  At the time of audit, bruises documented a downward trend and pressure injuries have remained below the Ryman limits (link 1.3.5.2 for care plan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Jane Winstone identified that over the last six months the incidence of behaviours that challenge was higher than expected in the special care unit.  A continuous improvement programme was commenced.  The programme has resulted in a reduction in the incidences of behaviours that challenge (link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to the registered nurses who then enter details into the electronic system.  Staff are required to record family notification when entering an incident into the system.  Incidents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Jane Winstone is a Ryman healthcare retirement village located in Whanganui.  Jane Winstone provides rest home, hospital (including medical services) and dementia level care for up to 89 residents including 20 serviced apartments certified to be able to provide rest home level care.  The care centre includes 39 dual service beds, 10 hospital level beds, and 20 dementia level beds.  During the audit, the 20 serviced apartments included no rest home level residents.  Occupancy in the care centre included; 30 rest home level residents including two respite and four funded through the intermediate care contract.  There were 16 hospital level residents including; one funded though in the intermediate care contract.  The dementia unit included 18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overall vision and values are displayed in a visible location.  All staff are made aware of the vision and values during their induction to the service.  There is a Ryman strategic and quality plan and a TeamRyman quality programme.  There are documented quality/health and safety goals.  The ‘kindness culture’ is a theme of the service philosophy.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(previously a registered general and obstetric nurse in NZ and the UK) is currently working towards a postgraduate in healthcare ethics and has been in the role for seven weeks.  The village manager is supported by a clinical manager (RN) and a non-clinical assistant manager.  The operations quality manager from head office provides support and was also present at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assistant manager and clinical manager cover the manager’s role.  The assistant manager covers administrative functions and the clinical manager clinical care.  The regional manager provides oversight and support.  The service has operational management strategies and a quality improvement programme to minimise risk of unwanted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TeamRyman quality and risk management programme is fully implemented.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All policies and procedures, and associated documents are created and regularly reviewed by the TeamRyman Programme committee.  With the introduction of VCare Kiosk many of the clinical documents have been converted to an electronic format with triggers to stimulate compliance &amp; centralised reporting to aid analysis of areas of weakness.  The introduction of VCare Kiosk has driven a significant improvement in adherence to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TeamRyman programme gives villages a monthly set of objectives and reporting requirements to ensure compliance to policies and procedures.  The programme includes (but not limited to) internal audits, new policy releases or revisions, communication of objectives, reporting of statistics, etc.  In addition, Ryman employs a team of internal auditors to spot audit sites.</w:t>
            </w:r>
          </w:p>
          <w:p w:rsidR="00EB7645" w:rsidRPr="00BE00C7" w:rsidP="00BE00C7">
            <w:pPr>
              <w:pStyle w:val="OutcomeDescription"/>
              <w:spacing w:before="120" w:after="120"/>
              <w:rPr>
                <w:rFonts w:cs="Arial"/>
                <w:b w:val="0"/>
                <w:lang w:eastAsia="en-NZ"/>
              </w:rPr>
            </w:pPr>
            <w:r w:rsidRPr="00BE00C7">
              <w:rPr>
                <w:rFonts w:cs="Arial"/>
                <w:b w:val="0"/>
                <w:lang w:eastAsia="en-NZ"/>
              </w:rPr>
              <w:t>At service level, all data collected (eg, falls, medication errors, wounds, skin tears, pressure injuries, complaints, challenging behaviours) are entered onto the electronic myRyman programme, collated and analysed with results communicated to staff and to head office.  Corrective actions are implemented where benchmarked data exceeds targets.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fully implemented internal audit programme is in place.  Areas of non-compliance include the initiation of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Ryman’s health and safety policies and procedures ensure a systemic review of all identified hazards including trend analysis to develop solutions that minimise risk.  Safety is discussed by gardening and maintenance at huddles and at the beginning of each meeting.</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Residents at risk of falling have a falls risk assessment completed with strategies implemented to reduce the number of falls.  Caregiver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Unwitnessed falls did not always include neurological observations as per policy (link 1.3.6.1).</w:t>
            </w:r>
          </w:p>
          <w:p w:rsidR="00EB7645" w:rsidRPr="00BE00C7" w:rsidP="00BE00C7">
            <w:pPr>
              <w:pStyle w:val="OutcomeDescription"/>
              <w:spacing w:before="120" w:after="120"/>
              <w:rPr>
                <w:rFonts w:cs="Arial"/>
                <w:b w:val="0"/>
                <w:lang w:eastAsia="en-NZ"/>
              </w:rPr>
            </w:pPr>
            <w:r w:rsidRPr="00BE00C7">
              <w:rPr>
                <w:rFonts w:cs="Arial"/>
                <w:b w:val="0"/>
                <w:lang w:eastAsia="en-NZ"/>
              </w:rPr>
              <w:t>A review of eleven incident/accident forms for the facility identified that all were fully completed and include timely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able to identify significant events that would be reported to statutory authorities, this has included a section 31 report for an externally acquired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Eleven staff files reviewed; (one clinical manager, five registered nurses, three caregivers, one activities coordinator, and one gardener) included a signed contract, job description, police checks, induction, application form and reference checks.  All files reviewed included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Each month the service is informed, via TeamRyman regarding what education is to be provided as well as any resources needed.  There is an attendance register for each training session and an individual staff member record of training.  Registered nurses are supported to maintain their professional competency.  Six registered nurses and one enrolled nurse have completed their InterRAI training.  Staff competencies are completed as relevant to the role.  Registered nurses participate in two monthly RN/EN journal club which provides clinical updates and guidance.  Coordinators are supported to attend the Ryman leadership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15 staff who work in the dementia unit, 13 have completed the dementia unit standards, two have recently completed and are waiting for their final assessment marks.   Twelve staff have completed the dementia friend online course through Alzheimer’s NZ.</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service 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A village manager who works Monday to Friday, an assistant village manager who works Monday to Friday and a clinical manager who works Sunday to Thursday.  The clinical manager, assistant manager and village manager are in addition to the rostered staffing.  There is a unit coordinator (RN) for the special care unit (dementia unit) who works Tuesdays to Saturdays and a unit coordinator for the serviced apartments Tuesday to Saturday.  The unit coordinators are included as part of the rosters.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special care unit (18 residents) on the day of audit, staffing included; </w:t>
            </w:r>
          </w:p>
          <w:p w:rsidR="00EB7645" w:rsidRPr="00BE00C7" w:rsidP="00BE00C7">
            <w:pPr>
              <w:pStyle w:val="OutcomeDescription"/>
              <w:spacing w:before="120" w:after="120"/>
              <w:rPr>
                <w:rFonts w:cs="Arial"/>
                <w:b w:val="0"/>
                <w:lang w:eastAsia="en-NZ"/>
              </w:rPr>
            </w:pPr>
            <w:r w:rsidRPr="00BE00C7">
              <w:rPr>
                <w:rFonts w:cs="Arial"/>
                <w:b w:val="0"/>
                <w:lang w:eastAsia="en-NZ"/>
              </w:rPr>
              <w:t>Two staff members for the AM (this includes a unit coordinator or an RN), two staff members for the PM (both caregivers, one is medication competent) and two caregivers at night.  Day staffing also included a lounge caregiver 4 pm to 8 pm seven days a week and designated activity staff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Staffing for the rest home/hospital wing included;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who provide oversight for all of the care centre are rostered one RN each shift seven days a week plus an additional RN 9 am to 1 pm Tuesday to Saturday.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for the hospital/rest home; </w:t>
            </w:r>
          </w:p>
          <w:p w:rsidR="00EB7645" w:rsidRPr="00BE00C7" w:rsidP="00BE00C7">
            <w:pPr>
              <w:pStyle w:val="OutcomeDescription"/>
              <w:spacing w:before="120" w:after="120"/>
              <w:rPr>
                <w:rFonts w:cs="Arial"/>
                <w:b w:val="0"/>
                <w:lang w:eastAsia="en-NZ"/>
              </w:rPr>
            </w:pPr>
            <w:r w:rsidRPr="00BE00C7">
              <w:rPr>
                <w:rFonts w:cs="Arial"/>
                <w:b w:val="0"/>
                <w:lang w:eastAsia="en-NZ"/>
              </w:rPr>
              <w:t>There are 26 residents, all at rest home level; AM one full shift and two short shifts, PM two full shifts and a short shift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Caregivers for the Hospital wing;</w:t>
            </w:r>
          </w:p>
          <w:p w:rsidR="00EB7645" w:rsidRPr="00BE00C7" w:rsidP="00BE00C7">
            <w:pPr>
              <w:pStyle w:val="OutcomeDescription"/>
              <w:spacing w:before="120" w:after="120"/>
              <w:rPr>
                <w:rFonts w:cs="Arial"/>
                <w:b w:val="0"/>
                <w:lang w:eastAsia="en-NZ"/>
              </w:rPr>
            </w:pPr>
            <w:r w:rsidRPr="00BE00C7">
              <w:rPr>
                <w:rFonts w:cs="Arial"/>
                <w:b w:val="0"/>
                <w:lang w:eastAsia="en-NZ"/>
              </w:rPr>
              <w:t>There are 20 residents (16 at hospital level and four rest home); AM two full shifts and two shorter shifts, PM one full shift and two shorter shifts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It was reported that all staff help each other across wings.</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staff on duty were visible and attending to call bells in a timely manner as confirmed by all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Personal resident information is kept confidential and cannot be viewed by other residents or members of the public.  Electronic resident files were protected from unauthorised access.  Entries were dated and included relevant caregiver or registered nurse, including designation.  The electronic system (myRyman) demonstrated service integration of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 well-developed information pack available for residents/families/whānau at entry.  The information pack outlines the services and levels of care provided including specific information for families of relatives admitted to the dementia unit.  Relatives interviewed stated they were well informed upon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for six long-term residents aligned with the service’s contracts.  The respite care resident had a short-term agreement in place.  The hospital level care resident under intermediate care had needs assessment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complies with Ministry of Health medication guidelines.  Registered nurses and senior caregivers who administer medications have been assessed for competency on an annual basis.  Registered nurses complete syringe driver competencies.  Regular and ‘as required’ medications are delivered in blister packs which are checked by an RN against the medication charts.  The blister packs are signed on the back following reconciliation and any errors are fed back to pharmacy.  Medications are stored safely in the care centre and the dementia care unit.  Caregivers and RNs interviewed were able to describe their role in regard to medicine administration.  A caregiver observed on a medication round (dementia care unit) followed correct procedures.  Education around safe medication administration has been provided.  Medication fridges were monitored weekly and temperatures were within acceptable limits.  The service has commenced medication room temperatures which evidence they do not exceed 25 degrees.  All eye drops, ointments and sprays were dated on opening.  All medications were prescribed for the resident and no bulk supply order was held on site.  There were three self-medicating residents (two rest home and one hospital level) with self-medication competencies signed by the GP.  Medication was stored safely in the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electronic medication charts (six hospital, five rest home and four dementia care) and one paper-based medication chart (respite care) were reviewed and evidenced that all medication documentation has been completed appropriately including charting and administration signing.  The effectiveness of ‘as required’ medications is recorded in progress notes and in the electronic medication system.  All medication charts (including the paper-based chart) had photo identification and the allergy status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 site.  The newly appointed qualified lead chef is supported by cooks, morning and afternoon kitchen assistants.  Staff have been trained in food safety and chemical safety.  Project-delicious has been implemented with an improvement in meals.  The four weekly seasonal menu is reviewed regularly by a dietitian at organisational level.  The menu offers three choices for the midday main meal and two meal options for the evening meal as well as a vegetarian and gluten free option.  The cook receives a resident dietary profile for all new admissions and is notified of any dietary changes.  Special diets such as pureed/soft diets are provided.  Resident dislikes and dietary preferences were known and accommodated.  Nutritious snacks are available 24 hours in the dementia unit.  Meals are delivered in hot boxes and served from bain maries in the unit kitchenettes and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which expires 9 May 2020.  Freezer/chiller temperatures, end-cooked temperatures, cooling and inward chilled goods temperatures are taken and recorded daily.  All foods in the pantry were date labelled.  All perishable foods in refrigerators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meals through resident meetings, surveys and direct contact with the chef.  Residents interviewed commented there had been an improvement on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to potential residents/family/whānau.  The reason for declining entry to the service would be if there were no beds available or if the service could not meet the assessed needs for the potential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assessments within its clinical practice.  InterRAI assessments and assessment summaries were evident in the files reviewed.  Initial assessments including relevant risk assessments (falls, behaviour, pressure injury) have been completed on admission.  Long-term care plans are reviewed six monthly as part of the evaluation process.  Additional assessments were completed according to need.  The outcomes of all assessments, needs and supports required, were reflected in the care plans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MyRyman care plans reviewed were overall resident-centred and included medical information, activities of daily living, categories of care with support needs and interventions to meet the resident goals, however there was a shortfall around supports for residents at risk of pressure injury.  Family members interviewed confirmed care delivery and support by staff is consistent with their expectations.  Care plans were amended to reflect changes in health status and were reviewed on a regular basis.  Care plans included the involvement of allied health professionals in the care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a GP visit or nurse specialist consultant.  Interventions required were documented in the resident’s care plan, however not all changes to care had been identified and interventions implemented.  Residents interviewed stated their needs were being met.  The family members interviewed stated their relative’s needs were being appropriately met.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electronic database) for 17 wounds (ulcers, skin tears and lesions and one pressure injury).  Scheduled change of dressings and evaluations had been completed.  There was one resident with a non-facility acquired suspected deep tissue injury on the day of audit.  A section 31 had been completed.  Adequate dressing supplies were sighted in the treatment rooms.  The RNs could describe access to the DHB wound nurse as required.  The GP reviews wounds three-monthly or earlier if there are signs of infection or non-healing.  Chronic wounds and pressure injuries are linked to the long-term care plans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to monitor a resident’s progress against interventions implemented for changes to health.  Neurological observations had not been completed as per protocol where required.  Progress notes document changes in health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activities staff (two diversional therapists, an activity assistant and van driver) who coordinate and implement the Engage programme across the care centre and the dementia care unit.  The Engage programme has set activities with the flexibility for each service level to add activities that are meaningful and relevant for the resident group including Triple AAA exercises, walking groups, sensational senses, make and create, reminiscing, themes events and celebrations, baking and cooking, games, entertainment, outings and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Monday to Sunday until 6 pm in the special care unit (link CI 1.2.3.6) and Monday to Friday in the care centre.   An evening lounge carer in the care centre also offers a range of activities.  Caregivers in the dementia care unit incorporate activities and one-on-one time with residents as part of their role.  Two afternoons a week is allocated to spend one-on-one time with care centre residents who choose to stay in their rooms and not participate in group activities.  There are regular outings/drives for all residents as appropriate (weekly for dementia residents), weekly entertainment and involvement in community events.  On site church services are held in the facility chapel.  Community visitors include volunteers, village residents, entertainers and canine pet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Behaviour management plans for dementia care residents included de-escalation and redirection through the use of individual one-on-one time and activities.  The resident/family/whānau as appropriate are involved in the development of the activity plan.  Residents/relatives have the opportunity to feedback on the programme through the resident meetings and satisfaction surveys.  There has been an increase in resident/relative satisfaction survey results from 3.88 in 2018 to 4.21 in 2019.  Residents and relatives interviewed commented positively on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registered nurses for long-term residents who had been at the service six months.  One hospital intermediate care resident had a long-term care plan in place but did not require an evaluation.  One rest home resident was on respite care.  Written evaluations for long-term residents describe the resident’s progress against the resident’s identified goals and any changes are updated on the long-term care plan.  The multidisciplinary review involves the RN, clinical manager and activities staff.  Input is sought from caregivers and other allied health professionals involved in the care of the resident.  The GP reviews the residents at least three monthly.  Family are invited to the MDT review and notified of the outcome/changes if unable to attend.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group of resident files reviewed.  The service facilitates access to other medical and non-medical services.  Referral documentation is maintained on resident files.  There was evidence of where a resident’s condition had changed, and the resident was reassessed for a higher level of care such as intermediate care to rest home level of care and from respite care to dementia care.  Discussion with the RNs identified that the service has access to a wide range of support either through the GP, Ryman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are dispensed through a mixing system.  Chemicals were labelled correctly and stored safely throughout the facility.  Safety data sheets and a spills kit were available.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17 March 2020.  The facility employs a maintenance manager who oversees the maintenance and grounds team of staff across the village and care centre.  The property manager from head office visits the site at least six monthly and is readily available by phone.  Requests for repairs is logged into an internal maintenance book which is checked frequently throughout the day and signed off as repairs are completed.  There is a planned maintenance schedule which includes internal and external building maintenance and equipment checks.  Electrical testing is completed annually.  Hot water temperatures in resident areas are monitored three monthly as part of the environmental audits.  Temperature recordings reviewed were below 45 degrees Celsius.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gardens and grounds with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is located on the ground floor with doors that open out onto secure gardens with walking pathways.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following improvements have been made; All rest home and special care (two residents remain on their own beds) beds replaced with electronic beds and pressure relieving mattresses.  The service has also purchased an Arjohuntleigh Hoist and a further air pressure mattress.  There has been a refurb of ‘Nurses Hub’ and computer surfaces in resident’s rooms for quick access to care plans and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single occupancy and have ensuites.  There were communal toilets located closely to the communal areas with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centre has a separate dining room for the rest home and hospital residents.  There is a large lounge with seating placed to allow for individual or group activities.  There is a smaller lounge/library area and seating alcoves throughout the facility.  The serviced apartments have a dining area, lounge and library room.  All the communal areas are easily accessible.  There is an on-site chapel, hairdressing salon and shop.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a spacious open plan dining/lounge area with seating placed appropriately to allow for low stimulus, small group and individual activities.  The communal areas were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 site.  The laundry operates from 9 am to 3 pm and from 7 pm to 10 pm.  The laundry has an entry and exit door and clean/dirty defined areas within the laundry.  Cleaners trolleys were well equipped and stored in a locked cleaners’ cupboard when not in use.  The laundry and cleaning service are monitored by internal audits and resident feedback.  The chemical provider monitors the effectiveness of chemicals.  Residents interviewed stated they were happy with the cleanliness of their bedrooms.  Residents stated they were satisfied with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in place to guide staff in managing emergencies and disasters.  Emergency management and fire evacuations drills are included in the mandatory in-service programme.  A non-fire emergency training was held to prepare staff in the event of a disaster.  There is a first aid trained staff member on every shift.  The village has an approved fire evacuation plan and fire drills occur six monthly, last in November 2019.  There are sufficient supplies of food, water and equipment for at least three days.  The service has a generator.  </w:t>
            </w:r>
          </w:p>
          <w:p w:rsidR="00EB7645" w:rsidRPr="00BE00C7" w:rsidP="00BE00C7">
            <w:pPr>
              <w:pStyle w:val="OutcomeDescription"/>
              <w:spacing w:before="120" w:after="120"/>
              <w:rPr>
                <w:rFonts w:cs="Arial"/>
                <w:b w:val="0"/>
                <w:lang w:eastAsia="en-NZ"/>
              </w:rPr>
            </w:pPr>
            <w:r w:rsidRPr="00BE00C7">
              <w:rPr>
                <w:rFonts w:cs="Arial"/>
                <w:b w:val="0"/>
                <w:lang w:eastAsia="en-NZ"/>
              </w:rPr>
              <w:t>There is an effective call bell system in all bedrooms, ensuites and communal areas.  The call bells and door alarms are linked to pagers carried by staff.  Calls light up on the main call panel in the nurse’s station.  The call points in the dementia unit are specifically designed to disguise the emergency button.</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 after hours.  There is secure entry and exit to the dementia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There is an infection prevention and control responsibility policy that included a chain of responsibility and an infection prevention and control coordinator’s job description.  The infection prevention and control programme is linked into the quality management system.  The infection prevention and control committee meet bi-monthly.  The facility meetings also include a discussion of infection prevention and control matters.  The programme is set out annually from head office and directed via the TeamRyman calendar.  The facility had developed links with the GPs, local laboratory, the infection control and public health departments at the local DHB.  An appointed registered nurse is responsible for infection prevention and control at the facility.  She has been in the role for three weeks and is supported by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(IC) coordinator is new to the role, and the clinical manager has maintained best practice by attending infection control updates.  The infection control team is representative of the facility.  Resident care plans reviewed included comprehensive documentation for any known infections.  An example is one resident with shingles.  The care plan described required interventions and staff demonstrated good knowledge of the care needed for this resident.</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The resident meetings for October document clear instruction regarding avoiding urinary tract infections and the importance of drinking.  May and June meetings discussed cough etiquette.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TeamRyman.  Effective monitoring is the responsibility of the infection prevention and control coordinator who is a registered nurse.  The registered nurse is directly responsible to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infection report form is completed for each infection.  Data is logged into an electronic system, which gives a monthly infection summary.  This summary is then discussed at the bi-monthly infection prevention and control (IPC) meetings.  All meetings held at Jane Winstone include discussion on infection prevention control.  The IPC programme is incorporated into the internal audit programme.  Internal audits are completed for hand washing, housekeeping, linen services, and kitchen hygiene.  Infection rates are benchmarked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four outbreaks at the facility since the last audit.  All were gastroenteritis outbreaks; one was confirmed as norovirus.  All were reported and managed well.    The laundry person interviewed was very knowledgeable regarding cross infection and laundry needs for infectious linen.  The service has reduced the incidence of urinary tract infections following a robust action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using an enabler (bedrail) and six residents with restraints during the audit.  Both the resident files were reviewed where an enabler (bedrails) was in use.  Voluntary consent and an assessment process had been completed.  The enabler is linked to the resident’s care plan and is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restraint coordinator is a registered nurse with a job description that defines the role and responsibility of the restraint coordinator.  The restraint approval process identifies the indications for restraint use, consent process, duration of restraint and monitoring requirements.  The approval group meets six monthly and all restraint and enablers are reported to TeamRyman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approval group,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residents’ files with restraint use (chair briefs) were reviewed.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coordinator/approval group.  The use of restraint and risks identified with the use of restraint was linked to the two resident care plans reviewed, however the risk associated with restraint were not well documented (1.3.5.2).  Internal audits conducted, measure staff compliance in following restraint procedures.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reassessment for the residents on the restraint register, and six-monthly as part of the care plan review.  Families are included in the review of restraint use.  Files reviewed for residents with restraint use evidenced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restraint coordinator and members of the approval group.  Meeting minutes include (but are not limited to) a review of the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78"/>
        <w:gridCol w:w="1280"/>
        <w:gridCol w:w="3997"/>
        <w:gridCol w:w="5424"/>
        <w:gridCol w:w="15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MyRyman care plans are readily available to all staff and cover medical information, activities and supports for daily activities of living.  Care plans lacked detail around pressure injury prevention for residents assessed at high risk of pressure injury and for two residents on chair brief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pressure injury interventions for two hospital and one dementia resident who had been assessed at high risk of pressure injury.  One hospital resident had a non-facility acquired pressure injury and the other hospital resident had a previous sacral split now healed (and is on chair brief restraint) and ii) two residents  on chair brief restraint (one hospital and one dementia care) who had been assessed at high risk of pressure injury did not have pressure injury identified as a risk associated with the use of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i)and ii) Ensure pressure injury prevention supports and interventions included in care plans for residents identified at risk of developing pressure injuries.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included (but not limited to): monthly weight, blood pressure and pulse, food and fluid charts, restraint monitoring, pain monitoring, blood sugar levels and behaviour charts.  Neurological observations are required to be completed post unwitnessed falls or where there is an identified head injury or knock to the head.  Not all interventions had been implemented for change to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included (but not limited to): monthly weight, blood pressure and pulse, food and fluid charts, restraint monitoring, pain monitoring, blood sugar levels and behaviour charts.  Neurological observations are required to be completed post unwitnessed falls or where there is an identified head injury or knock to the head.  Not all interventions had been implemented for change to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Neurological observations had not been completed for six of six falls reviewed where neurological observations were required, ii) there were no interventions in place for one hospital resident (under intermediate care) with unintentional weight loss and iii) there was no re-positioning chart in place for the last week for one hospital resident with a suspected deep tissue pressure injury of heel.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implemented and documented to monitor resident health changes.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4"/>
        <w:gridCol w:w="1280"/>
        <w:gridCol w:w="2993"/>
        <w:gridCol w:w="76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September to November 2018, the service noted that the incidences of behaviours that challenge were higher than the Ryman trend and the incidences showed an increasing trend.  A plan was implemented, aimed at reducing the incidence of behaviours that challenge.  Behaviour instances per 1000 bed days are monitored and reported at monthly quality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increased the focus on incidents involving behaviours that challenge.  All incidents related to behaviour were (and continue to be) discussed at the daily ‘clinical huddle’ and handovers.  Additional education was provided around prevention and management of behaviours that challenge including engaging the psychogeriatric team from the DHB to provide education.  The GP provided assistance with the nursing and psychogeriatric team and reviewed all medications as needed.  The activity team reviewed and implemented changes to the activity plan.  The nursing care plans were also reviewed and updated to reflect a person-centred approach to behaviour management.  As a result of the plan and the changes, the challenging behaviour incidents in the special care unit reduced from 71 for 1000 bed days during the month of November 2018 to 6.55 March 2019.  The trend has continued down with 1.06 incidents per 1000 bed days for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statistics are generated monthly and are reviewed by the infection control nurse; reports are provided to the two monthly infection control meetings, clinical meetings, and monthly myRyman meetings.  The meetings noted a high incidence of urinary tract infections (UTIs) April 2019.  A plan was implemented to address the high incidence of urinary tract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discussion at the infection control meetings and myRyman meetings the service developed an action plan to reduce the incidence of urinary tract infections.  The plan included; education for staff specific to UTI prevention, education for staff around infection control and hand washing and education for residents and family (as evidenced through relative and family meeting minutes).  Residents were offered increased fluids, ice blocks and smoothies.  Each lounge had jugs of flavoured drinks always available to residents (and this was viewed on the day of audit).  The service reviewed clinical practice and handovers were used to remind staff of the importance of continence care toileting and the need for fluids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UTI rates reduced and continued a downward trend, with zero UTIs reported August to November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Jane Winstone Retirement Village Limited - Jane Winstone Retirement Village</w:t>
    </w:r>
    <w:bookmarkEnd w:id="58"/>
    <w:r>
      <w:rPr>
        <w:rFonts w:cs="Arial"/>
        <w:sz w:val="16"/>
        <w:szCs w:val="20"/>
      </w:rPr>
      <w:tab/>
      <w:t xml:space="preserve">Date of Audit: </w:t>
    </w:r>
    <w:bookmarkStart w:id="59" w:name="AuditStartDate1"/>
    <w:r>
      <w:rPr>
        <w:rFonts w:cs="Arial"/>
        <w:sz w:val="16"/>
        <w:szCs w:val="20"/>
      </w:rPr>
      <w:t>2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