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Bainfield Park Residential Care Limited - Bainfield Park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Bainfield Park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Bainfield Park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November 2019</w:t>
      </w:r>
      <w:bookmarkEnd w:id="7"/>
      <w:r w:rsidRPr="009418D4">
        <w:rPr>
          <w:rFonts w:cs="Arial"/>
        </w:rPr>
        <w:tab/>
        <w:t xml:space="preserve">End date: </w:t>
      </w:r>
      <w:bookmarkStart w:id="8" w:name="AuditEndDate"/>
      <w:r w:rsidR="00A4268A">
        <w:rPr>
          <w:rFonts w:cs="Arial"/>
        </w:rPr>
        <w:t>12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Bainfield Park provides residential services for people with physical, intellectual and sensory disabilities and residents requiring rest home level care for up to 57 residents.  There were 46 residents during the audit.</w:t>
      </w:r>
    </w:p>
    <w:p w:rsidRPr="00A4268A">
      <w:pPr>
        <w:spacing w:before="240" w:line="276" w:lineRule="auto"/>
        <w:rPr>
          <w:rFonts w:eastAsia="Calibri"/>
        </w:rPr>
      </w:pPr>
      <w:r w:rsidRPr="00A4268A">
        <w:rPr>
          <w:rFonts w:eastAsia="Calibri"/>
        </w:rPr>
        <w:t xml:space="preserve">The unannounced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is managed by an appropriately qualified and experienced general manager who has been in the role for two years.  She is supported by a clinical nurse manager.  There are quality systems and processes being implemented.  </w:t>
      </w:r>
    </w:p>
    <w:p w:rsidRPr="00A4268A">
      <w:pPr>
        <w:spacing w:before="240" w:line="276" w:lineRule="auto"/>
        <w:rPr>
          <w:rFonts w:eastAsia="Calibri"/>
        </w:rPr>
      </w:pPr>
      <w:r w:rsidRPr="00A4268A">
        <w:rPr>
          <w:rFonts w:eastAsia="Calibri"/>
        </w:rPr>
        <w:t>The previous shortfall around respite care planning has been addressed.</w:t>
      </w:r>
    </w:p>
    <w:p w:rsidRPr="00A4268A">
      <w:pPr>
        <w:spacing w:before="240" w:line="276" w:lineRule="auto"/>
        <w:rPr>
          <w:rFonts w:eastAsia="Calibri"/>
        </w:rPr>
      </w:pPr>
      <w:r w:rsidRPr="00A4268A">
        <w:rPr>
          <w:rFonts w:eastAsia="Calibri"/>
        </w:rPr>
        <w:t>This audit identified shortfalls around minimising risks and wound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disclosure is maintained and evident with relatives’ notification documented on incident reports.  A complaint register in maintained.  Complaints are well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business and quality plan in being implemented.  Quality data is collated and discussed at meetings.  Internal audits are completed as scheduled.  Satisfaction surveys show overall satisfaction with the service.  An education plan is being implemented using an online system.  Staff files reviewed evidenced good employment practices are adhered and include role-specific orientation.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were reviewed at least six 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and enrolled nurses are responsible for the administration of medicines.  Medications are reviewed three monthly by the general practitioner.</w:t>
      </w:r>
    </w:p>
    <w:p w:rsidRPr="00A4268A" w:rsidP="00621629">
      <w:pPr>
        <w:spacing w:before="240" w:line="276" w:lineRule="auto"/>
        <w:rPr>
          <w:rFonts w:eastAsia="Calibri"/>
        </w:rPr>
      </w:pPr>
      <w:r w:rsidRPr="00A4268A">
        <w:rPr>
          <w:rFonts w:eastAsia="Calibri"/>
        </w:rPr>
        <w:t xml:space="preserve">The activities coordinators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 xml:space="preserve">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Regular reactive maintenance occurs, and preventative maintenance schedules are maintained.  All communal areas are accessible to residents with mobility aids.  External areas are well maintained and provide seating and shade.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Bainfield Park has restraint minimisation and safe practice policies and procedures in place.  At the time of the audit there were six residents using an enabler.  Assessments and consents were fully completed.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5"/>
        <w:gridCol w:w="1280"/>
        <w:gridCol w:w="102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forms are available at the key points around the facility.  The residents interviewed were aware of the complaints process, and where to access complaint forms.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Eight complaints have been lodged since the previous audit.  Complaints were around staff interactions care.  The advocacy services were involved with two of the complaints.  The complaints were addressed in a timely fashion and were documented as resolved.  Education sessions were provided to the staff members in a staff meeting, an external session at the DHB around communication, and an HDC study day.  Compliments and complaints are discussed at the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interviewed confirmed communication with staff was open and effective.  The service has an open disclosure policy and staff interviewed confirmed their understanding of open disclosure.  Any communication with family/whānau was documented in the residents’ progress notes.  Ten incidents reviewed from across the service identified relatives were informed where required, or the reason for not notifying was documented.  No relatives were available for interview during the audit.  The residents stated they can go to the management team if they have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Information provided meets the needs of those with intellectual, physical and sensory disabilities.  Communication needs are documented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Bainfield Park provides residential services for people with physical, intellectual and sensory disabilities; and residential services for older persons requiring rest home level care.  The service is governed by a Trust with a board of directors that oversee the Trust.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46 of the 57 available beds were occupied.  This included 9 rest home level residents (four residents on ARC, and five residents on a long-term chronic support- chronic health contract LCS-CHC).  There were 29 residential disabilities residents (seven physical disabilities, and 22 intellectual disabilities).  Three residents were funded under ACC, four were funded under the mental health, and one resident was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is a registered nurse.  She has been in this role since September 2017.  She has previous experience in mental health and aged care and has had a senior management role within the DHB.  She is supported by a clinical nurse manager (CNM) who has been in the role for 13 years, registered nurses (RNs) enrolled nurses (ENs) and long-standing caregivers.  </w:t>
            </w:r>
          </w:p>
          <w:p w:rsidR="00EB7645" w:rsidRPr="00BE00C7" w:rsidP="00BE00C7">
            <w:pPr>
              <w:pStyle w:val="OutcomeDescription"/>
              <w:spacing w:before="120" w:after="120"/>
              <w:rPr>
                <w:rFonts w:cs="Arial"/>
                <w:b w:val="0"/>
                <w:lang w:eastAsia="en-NZ"/>
              </w:rPr>
            </w:pPr>
            <w:r w:rsidRPr="00BE00C7">
              <w:rPr>
                <w:rFonts w:cs="Arial"/>
                <w:b w:val="0"/>
                <w:lang w:eastAsia="en-NZ"/>
              </w:rPr>
              <w:t>The 2019 to 2021 business and quality plan is being implemented.  The general manager attends the two monthly board meetings and provides a formal report.  There are frequent informal meetings and communication with the chairman of the board.  Goals documented in the plan include refurbishments, moving to an electronic quality system, and promoting healthy lifestyles for residents.  Goals are regularly reviewed as documented in the board and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GM and CNM have maintained at least eight hours annually of professional development activities related to their roles at this facility including attending conferences and the clinical manager has attended an infection control conference.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oversees the quality programme.  Quality portfolios have been developed and delegated to the shift supervisors (RNs and ENs).  Two ENs are responsible for the completion of internal audits, collation of results and corrective actions.  Monthly data is collated for infection control and adverse events.  Corrective actions are documented on a quality form, these are either signed off as completed or continued as ongoing.  Minutes of monthly quality meetings, staff meetings, and clinical RN/EN meetings evidence discussion of results, corrective actions and trends identified, and give staff an opportunity to suggest improvements to be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is focusing on healthy lifestyles which is being led by the GM, CNM GP, Activities and the Kitchen.  This is reducing the number of sweet options and providing healthy savoury options, increasing physical activities and frisbee golf has been set up in the grounds.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officer who leads the health and safety programme and meetings.  The hazard register is reviewed at each meeting.  There is a walk around health and safety audit completed prior to each meeting.  Meetings are held quarterly and are discussed at all other meetings.  Health and safety training was last held in April 2019.  There is health and safety training provided as part of the online education programme.  All staff complete a health and safety quiz annually.  Falls prevention strategies are also being implemented for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 monthly, residents provide feedback and suggestions the have around activities and aspects of life at Bainfield Park.  Annual resident and relative surveys are held using survey monkey.  The 2018 relative survey evidenced an overall satisfaction rate of 46.6% very satisfied and 53.8% satisfied.  The 2019 result showed an overall satisfaction rate of 82.3% very satisfied.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resident satisfaction survey showed 89% satisfied with the dining experience and then following changes 100% satisfaction and 78% quick response to behaviours.  The 2019 survey was in the process of being collated, provisional results showed 95% of residents felt safe, and 60% were very satisfied with staff interactions.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Initiatives made following a residents’ survey included (but not limited to); changing the dining room so residents feel safe around each other.  There are two dining areas now, residents have a choice of where to dine, and were involved in choosing the names of the dining areas and setting them up.  A further survey on food and dining evidenced a 100% satisfaction rate.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accident/incident process includes documentation of the incident and analysis and separation of resident and staff incidents and accidents.  Ten incidents sampled for October and November, demonstrated appropriate documentation and clinical follow-up and have been reviewed by the CNM.  Accidents and incidents are analysed monthly with results discussed at staff meetings, however, incident forms reviewed did not include documentation around minimising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There have been four notifications made since the previous audit around residents’ behaviour.  And one serious medication error.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(one RN, one EN, one activities assistant, one caregiver, and one housekeeping) demonstrated appropriate employment practices and documentation.  Current annual practicing certificates are kept on file.  Two of the staff were recently employed and were completing their orientation.  Three staff were employed within the last six months and the two long-term files had current appraisals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and disabilities and was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is interRAI trained.  All RNs, ENs and activities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online annual training plan in place which is being implemented.  Residents and the family interviewed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services.  There are two shift supervisors (RN/EN) rostered for the morning duty and one shift supervisor rostered for the pm shift and one shift supervisor rostered for the night shift.  There is an on-call roster which is shared between the CNM and the three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Maitai wing 27 residents,; (4 rest home, 3 mental health, 1 ACC, 10 intellectual disability, 5 chronic health conditions, and 4 physical disability) is staffed with one shift supervisor and one caregiver from 7am to 3pm and one “float” from 10.30am to 9pm on the morning shift.  </w:t>
            </w:r>
          </w:p>
          <w:p w:rsidR="00EB7645" w:rsidRPr="00BE00C7" w:rsidP="00BE00C7">
            <w:pPr>
              <w:pStyle w:val="OutcomeDescription"/>
              <w:spacing w:before="120" w:after="120"/>
              <w:rPr>
                <w:rFonts w:cs="Arial"/>
                <w:b w:val="0"/>
                <w:lang w:eastAsia="en-NZ"/>
              </w:rPr>
            </w:pPr>
            <w:r w:rsidRPr="00BE00C7">
              <w:rPr>
                <w:rFonts w:cs="Arial"/>
                <w:b w:val="0"/>
                <w:lang w:eastAsia="en-NZ"/>
              </w:rPr>
              <w:t>A shift supervisor is rostered from 2.45pm to 11.15pm with one caregiver from 2.45 to 11pm and one caregiver from 4pm to 9pm.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Kiwi wing with 19 residents including one resident in a flat and 4 residents in the annex (12 intellectual disability, 3 physical disability, 1 mental health, 2 on ACC, 1 respite) is staffed with one shift supervisor and a short shift care assistant (7.00 am – 1.00 pm).  The PM shift is staffed with one care assistant and a shift supervisor who is also covering Maitai wing.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Monday – Friday from 9.00 am – 4.30 pm Saturday and Sunday 0900-1500 with an additional volunteer assisting with men’s activities one day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relatives interviewed confirmed that staffing levels are adequate.  Residents confirmed that their call bell is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medico pack system.  Medications are checked on arrival and any pharmacy errors recorded and fed back to the supplying pharmacy.  RNs and ENs administer all medications.  There is a list of senior medication competent caregivers who are permitted to check medications with RNs/ENs.  Staff attend annual education and have an annual medication competency completed.  Two RNs are syringe driver trained by the hospice.  The medication fridge and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Fourteen medication charts were reviewed.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kitchen supervisor and two cooks who cover the week between them.  There are four rostered kitchenhands.  All cooks have current food safety certificates.  The kitchen manager oversees the procurement of the food and management of the kitchen.  There is a well-equipped kitchen and all meals are cooked on site.  Meals are kept warm in a bain marie and then transported on trollies.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The four weekly summer and winter rotating menu plans are approved by a dietitian.  All residents interviewed were satisfied with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on 1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assessment is completed on admission.  InterRAI assessments are completed within the required timeframe and link to the care plans.  Residents and family are involved in assessment.  Returning respite residents have a reassessment on each admission and care plans are updated as required.  A previous finding in this area has now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RN/EN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wound assessment, and wound evaluation other than in a short-term care plan.  There is no wound register, so it is difficult to ascertain how many wounds are currently being treated and staff appeared unsure.  There is currently one stage four pressure injury.  Pressure injury equipment is available.</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available for any residents that exhibit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works 24 hours a week plus two hours a week for one-on-one exercises.  There are 2 other activity co-ordinators one works 16 hrs a week and the other in weekends for 10 hours a week.  All work across all areas.  There is also a volunteer who comes every Tuesday to read stories and do craft.  On the day of audit residents were observed making lemon cupcakes and participating in a karaoke session.  Six residents with intellectual disabilities were out at 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and some residents like to keep a copy in their rooms.  Residents have the choice of a variety of activities in which to participate and every effort is made to ensure activities are meaningful and tailored to residents’ needs.  These include exercises, bingo, news from the paper, music, quizzes, crafts, cooking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interdenominational church service and also Catholic communion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van outings.  If there are social events on in town, residents are taken in the van.  There are pet therapy visits and there is a lot of bird life in the nearby bush to observe including ducks.  Special events like birthdays, Easter, Mothers’ Day, Anzac Day, and Melbourne Cup are celebrated.  Entertainers visit weekly.</w:t>
            </w:r>
          </w:p>
          <w:p w:rsidR="00EB7645" w:rsidRPr="00BE00C7" w:rsidP="00BE00C7">
            <w:pPr>
              <w:pStyle w:val="OutcomeDescription"/>
              <w:spacing w:before="120" w:after="120"/>
              <w:rPr>
                <w:rFonts w:cs="Arial"/>
                <w:b w:val="0"/>
                <w:lang w:eastAsia="en-NZ"/>
              </w:rPr>
            </w:pPr>
            <w:r w:rsidRPr="00BE00C7">
              <w:rPr>
                <w:rFonts w:cs="Arial"/>
                <w:b w:val="0"/>
                <w:lang w:eastAsia="en-NZ"/>
              </w:rPr>
              <w:t>There are strong links with the community.  As well as those who go out to work, independent residents go out for coffee and/or lunch.  Some residents go to art classes, movies shopping and concerts.  Some residents go to the Blind Foundation weekly and some mental health residents attend Rata House mental health day programme.  Rata House also comes in and plays bowls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 monthly and there are annual satisfaction surveys.  Residents interviewed were happy with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respite resident, all care plans reviewed had been evaluated by the registered nurse six monthly or when changes to care occurred.  Short-term care plans for short- 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 February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Hot water temperatures have been monitored randomly in resident areas and were within the acceptable range.  The communal lounges, hallways and bedrooms are spacious and allow room for residents to move around with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(CNM) collates information obtained through surveillance to determine infection control activities and education needs in the facility.  Infection control data including trends is discussed at quality, health and safety, RN and staff meetings.  Meeting minutes are available to staff.  Trends are identified, analysed and preventative measures put in place.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policy in place.  The facility has no restraints and only six enablers.  There are currently six enablers.  All are lap belts on wheelchairs and residents are able to undo them.  They are all used for safety reasons only.  They are documented in the resident’s care plans.  Consent for enabler use has been signed.  Restraint education takes place annually on the online system.  There is a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policy in place.  The facility has no restraints and only six enablers.  There are currently six enablers.  All are lap belts on wheelchairs and residents are able to undo them.  They are all used for safety reasons only.  They are documented in the resident’s care plans.  Consent for enabler use has been signed.  Restraint education takes place annually on the online system.  There is a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7"/>
        <w:gridCol w:w="1280"/>
        <w:gridCol w:w="5750"/>
        <w:gridCol w:w="1827"/>
        <w:gridCol w:w="17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reports are completed following all adverse events.  All forms were completed by the first on the scene and evidence clinical follow-up.  The incident reports were reviewed and signed off by the clinical nurse manager and discussed at meetings, however they do not evidence opportunities to minimise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ten incident reports reviewed did not evidence opportunities to minimise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opportunities to minimise risks are identified where possible and documented on the incident reports.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Wounds are currently written up in a short-term care plan, which outlines the wound management.  There was no documented evidence of wound assessment, and wound evaluation.  The facility has a wound assessment form, but this was not in use.  There were no photos of a wound’s progress.  There was input from a wound care nurse specialist when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wound register.  There was no documented evidence of wound assessment and wound evaluation.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Commence a wound register and ensure wound assessment and wound evaluation forms are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Bainfield Park Residential Care Limited - Bainfield Park Residential Home</w:t>
    </w:r>
    <w:bookmarkEnd w:id="58"/>
    <w:r>
      <w:rPr>
        <w:rFonts w:cs="Arial"/>
        <w:sz w:val="16"/>
        <w:szCs w:val="20"/>
      </w:rPr>
      <w:tab/>
      <w:t xml:space="preserve">Date of Audit: </w:t>
    </w:r>
    <w:bookmarkStart w:id="59" w:name="AuditStartDate1"/>
    <w:r>
      <w:rPr>
        <w:rFonts w:cs="Arial"/>
        <w:sz w:val="16"/>
        <w:szCs w:val="20"/>
      </w:rPr>
      <w:t>12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