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Rannerdale War Veterans Home Limited - Rannerdale War Veterans' Hospital and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Rannerdale War Veterans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Rannerdale War Veterans' Hospital and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2019</w:t>
      </w:r>
      <w:bookmarkEnd w:id="7"/>
      <w:r w:rsidRPr="009418D4">
        <w:rPr>
          <w:rFonts w:cs="Arial"/>
        </w:rPr>
        <w:tab/>
        <w:t xml:space="preserve">End date: </w:t>
      </w:r>
      <w:bookmarkStart w:id="8" w:name="AuditEndDate"/>
      <w:r w:rsidR="00A4268A">
        <w:rPr>
          <w:rFonts w:cs="Arial"/>
        </w:rPr>
        <w:t>1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Rannerdale War Veterans' Hospital and Home is certified to provide care across three levels of care; hospital-medical/geriatric, rest home and residential disability – physical.  There are a total of 65 beds with current occupancy of 52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overseen by a chief executive officer and clinical manager who are qualified and experienced for the roles.  They are supported by a stable team of registered nurses and care staff.  Residents and family/whānau and the general practitioner commented positively on the standard of care and services provided at Rannerdale Veterans Hospital and Home.</w:t>
      </w:r>
    </w:p>
    <w:p w:rsidRPr="00A4268A">
      <w:pPr>
        <w:spacing w:before="240" w:line="276" w:lineRule="auto"/>
        <w:rPr>
          <w:rFonts w:eastAsia="Calibri"/>
        </w:rPr>
      </w:pPr>
      <w:r w:rsidRPr="00A4268A">
        <w:rPr>
          <w:rFonts w:eastAsia="Calibri"/>
        </w:rPr>
        <w:t xml:space="preserve">Two of two previous findings from the certification audit around care planning and monitoring have been addressed. </w:t>
      </w:r>
    </w:p>
    <w:p w:rsidRPr="00A4268A">
      <w:pPr>
        <w:spacing w:before="240" w:line="276" w:lineRule="auto"/>
        <w:rPr>
          <w:rFonts w:eastAsia="Calibri"/>
        </w:rPr>
      </w:pPr>
      <w:r w:rsidRPr="00A4268A">
        <w:rPr>
          <w:rFonts w:eastAsia="Calibri"/>
        </w:rPr>
        <w:t>The service has continued to maintain a continuous improvement rating around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service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complete clinical assessments, plan and evaluate care needs of the residents.  Care plans are developed in consultation with the resident and/or family and allied health professionals involved in the care of the resident.  Care plans demonstrated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 groups.  The programme includes community visitors and outings, entertainment and activities that meet the individual recreational, physical and cognitive abilities and preferences for each resident group including younger people.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Rannerdale Veterans Hospital and Home has a current building warrant of fitness.  Reactive and preventative maintenance is carried out.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Enablers are voluntary and the least restrictive option.  There are eleven residents who require enablers and no residents requiring the use of restraints.  Staff training records evidenced guidance has been given on restraint minimisation and enabler usage.  The restraint coordinator is a registered nurse.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6"/>
        <w:gridCol w:w="1280"/>
        <w:gridCol w:w="102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All complaints are logged onto the electronic register.  There were 39 complaints logged for 2018.  Discussion with the manager and review of 2018 complaints evidenced that many were incidents.  All complaints (whether an incident or a complaint) for 2018 had been followed up with the complainant, any issues actioned closed off.  There were three complaints year to date for 2019.  One was around the standard of care, one around a resident and smoking and one resident complaining about another.  All three had been investigated and closed off to the satisfaction of the complainant.  Staff meetings and the quality meeting documented that complaints had been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based on the principle that residents and their families have a right to know what has happened to them and to be fully informed at all times.  The chief executive officer (CEO), clinical manager, five registered nurses and one enrolled nurse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(three hospital level, including one younger person and three rest home level including one respite) stated they were welcomed on entry and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incidents/accidents forms were reviewed for October 2019.  The forms included a section to record family notification.  All forms indicated family were informed or if family did not wish to be informed.  Family members interviewed (two rest home level including the younger person’s relative and the respite person’s relative and one hospital level)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War Veterans' Hospital and Home is owned and operated by the Rannerdale Trust.  The service provides hospital, rest home and residential disability (physical) level care for up to 65 residents.  There are 50 dual purpose beds downstairs and there are 15 beds upstairs (three of eight dual purpose rooms closed for renovations).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52 residents in total.  There were 27 rest home level residents, including seven on long-term support chronic health condition (LTS-CHC) contracts, there were also four rest home level respite residents.  There were 25 hospital level residents including; four LTS-CHC contracts, one ACC, one end of life and one individual funding through the DHB.  There are seven dedicated rest home beds.  </w:t>
            </w:r>
          </w:p>
          <w:p w:rsidR="00EB7645" w:rsidRPr="00BE00C7" w:rsidP="00BE00C7">
            <w:pPr>
              <w:pStyle w:val="OutcomeDescription"/>
              <w:spacing w:before="120" w:after="120"/>
              <w:rPr>
                <w:rFonts w:cs="Arial"/>
                <w:b w:val="0"/>
                <w:lang w:eastAsia="en-NZ"/>
              </w:rPr>
            </w:pPr>
            <w:r w:rsidRPr="00BE00C7">
              <w:rPr>
                <w:rFonts w:cs="Arial"/>
                <w:b w:val="0"/>
                <w:lang w:eastAsia="en-NZ"/>
              </w:rPr>
              <w:t>Rannerdale Trust has a strategic plan in place for 2015–2020.  Strategic goals and objectives are documented and are regularly reviewed by the CEO and the trust board.  The organisation has a philosophy of care, which includes a mission statement.  Rannerdale War Veterans' Hospital and Home has a business plan for 2018–2020 in place.  The CEO reports to the Board of Directors (four board members).</w:t>
            </w:r>
          </w:p>
          <w:p w:rsidR="00EB7645" w:rsidRPr="00BE00C7" w:rsidP="00BE00C7">
            <w:pPr>
              <w:pStyle w:val="OutcomeDescription"/>
              <w:spacing w:before="120" w:after="120"/>
              <w:rPr>
                <w:rFonts w:cs="Arial"/>
                <w:b w:val="0"/>
                <w:lang w:eastAsia="en-NZ"/>
              </w:rPr>
            </w:pPr>
            <w:r w:rsidRPr="00BE00C7">
              <w:rPr>
                <w:rFonts w:cs="Arial"/>
                <w:b w:val="0"/>
                <w:lang w:eastAsia="en-NZ"/>
              </w:rPr>
              <w:t>The CEO is an RN and maintains an annual practicing certificate.  She has been in the role since 2018 having been in a variety of roles at Rannerdale prior to this role including the general manager role.  The CEO is supported in her role by an experienced registered nurse clinical manager, a business manager, a nurse educator and also non-clinical managers.  Staff interviewed stated they feel very well supported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clinical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understood and being implemented as confirmed through a review of documented meetings and during interviews with the management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developed by an external consultant and align with current good practice and meet legislative requirements.  Policies have been reviewed, modified (where appropriate) and implemented.  New policies are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infections) and is collated and analysed.  An internal audit programme is being implemented.  Quality data and outcomes are discussed with staff in the quarterly staff meetings, quarterly quality meetings and monthly RN meetings.  Additional meetings include; monthly falls minimisation meetings and complex care meetings (where the team review the care needs for the more complex residents).  Meetings document that corrective actions are discussed and followed up/signed off at relevant meetings.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reflect current legislative requirements.  Interviews were conducted with the health and safety officer who is the maintenance manager.  Staff health and safety training begins during their induction to the service.  Health and safety is a regular topic covered in the staff and quality meetings.  Actual and potential risks are documented on a hazard register, which identifies risk ratings and documents actions to eliminate or minimise each risk.  A plan is implemented to orientate contractors 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This includes (but is not limited to) sensor mats, intentional rounding with two-hourly checks, and challenging behaviour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quality and staff meetings including actions to minimise recurrence.  Monthly results are posted up on staff noticeboards.</w:t>
            </w:r>
          </w:p>
          <w:p w:rsidR="00EB7645" w:rsidRPr="00BE00C7" w:rsidP="00BE00C7">
            <w:pPr>
              <w:pStyle w:val="OutcomeDescription"/>
              <w:spacing w:before="120" w:after="120"/>
              <w:rPr>
                <w:rFonts w:cs="Arial"/>
                <w:b w:val="0"/>
                <w:lang w:eastAsia="en-NZ"/>
              </w:rPr>
            </w:pPr>
            <w:r w:rsidRPr="00BE00C7">
              <w:rPr>
                <w:rFonts w:cs="Arial"/>
                <w:b w:val="0"/>
                <w:lang w:eastAsia="en-NZ"/>
              </w:rPr>
              <w:t>An RN has documented a clinical follow-up of residents in all eight incident forms reviewed and demonstrated an investigation of incidents to identify areas to minimise the risk of recurrence.  Discussions with the CEO and clinical manager confirmed that there is an awareness of the requirement to notify relevant authorities in relation to essential notifications.  There have been no section 31 notifications required since the last audit and no infection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and include that the recruitment and staff selection process requires that relevant checks are completed to validate the individual’s qualifications, experience and veracity.  A copy of practising certificates is kept.  Seven staff files were reviewed (two registered nurses, four HCAs and one recreation programme facilitator).  These evidenced appropriate employment practices including that reference checks were completed before employment was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very comprehensive in-service education programme has been developed and is supported by the nurse educator.  The training programme for 2019 is being implemented and the education.  Training is provided in study blocks for staff over the year as well as additional training as needed.  Attendance rates were very high (100%).  The RNs are able to attend external training, including sessions provided by the local DHB.  Subjects have included syringe driver, palliative care, infection control and wound care.  There are currently nine RNs working at Rannerdale War Veterans' Hospital and Home and all nine are interRAI trained.  Four of the RNs have achieved proficient level PDRP.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has included sessions on privacy/dignity, spirituality/counselling and social media to ensure the needs of younger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senior nursing team is in place, there is a full-time CEO and clinical manager who work from Monday to Friday.  There is always a senior RN and senior HCA on duty 24/7.  There is a long-standing consistent HCA team available.  A member of the management team is on call at all times.  Registered nurses have sufficient time available to complete interRAI assessments and care planning evaluations within contractual timeframes.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dual-purpose beds are split between seven wings (Shirley Symons, Jacinda Baker, John Masters, Totara, Rimu, Kowhai and Manuka wings).  At the time of the audit, there were 27 rest home residents and 25 hospital residents in total.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hospital/rest home area there are two RNs and one EN on duty on the morning shift, two RNs on the afternoon shift and one RN on the night shift.  The RNs are supported by adequate numbers of HCAs.  There are six HCAs on duty on the morning shift, five HCAs on the afternoon shift and two - three HCAs on the night shift (as influenced by the units acuity and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additional HCA is rostered on the morning shift to support the rest home residents in the upstairs Rata wing if needed.  Residents who require one-on-one supervision are supervised by non-clinical support workers as per their specific contractual requirements and/or service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the MOH guidelines.  The RNs, enrolled nurse and senior caregivers who administer medications complete annual competency assessments.  Annual in-service education on medication is provided.  Syringe driver competencies have been completed by RNs.  Medications (blister packs) are checked on delivery against the electronic medication chart (and checked in) and any discrepancies feedback to the pharmacy.  All medications are stored safely in the one medication room.  Standing orders are not used.  A record of hospital stock and expiry dates is maintained.  Four rest home self-medicating residents (inhalers/eye drops) had a self-medication competency completed and reviewed three monthly by the GP.  The medication fridge is monitored daily.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All medication charts had photo identification and an allergy status.  The GP reviewed the medication charts at least three monthly.  Prescribed ‘as required’ medications included the indication for use and the effectiveness was recorded in the electronic system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contracted meal service provider prepares and cooks all meals on-site.  The site kitchen manager (also cooks four days a week) oversees the nutritional service with the assistance of cooks and morning and afternoon kitchenhands.  The food control plan was issued April 2019 valid until November 2019 pending the installation of a new overhead canopy which had been completed.  A verification visit has been scheduled.  Food services staff are trained in safe food handling and food safety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seasonal winter and summer menu, which had been reviewed by a dietitian.  Meals are prepared in a well-appointed kitchen.  The kitchen is adjacent to the large dining room.  The meals are served from the bain marie in the kitchen to residents in the large dining room.  A bain marie has been purchased for the serving of meals in the hospital dining rooms.  Meal temperatures are checked during service in both dining rooms.  The cook and kitchenhand serve meals.  The kitchen manager receives resident dietary profiles and is notified of any dietary changes.  Modified texture diets and resident dislikes and food allergies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food control plan is followed with daily fridge, freezer, inward chilled goods and end-cooked temperatures taken and recorded.  All food is stored correctly and date-labelled in fridges, freezers and the pantry.  There is a cook and kitchenhand cleaning schedule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and other clinical nursing assessments inform the development of the resident’s care plan.  The long-term care plans reviewed described aspects of support required to meet the resident’s goals and needs.  The respite care resident and EOL resident were not required to have long-term care plans.  The care plans included documented interventions in sufficient detail to guide the care staff in the safe delivery of care.  Care plans were individualised, and resident centred.  Care plans reviewed had been updated with any changes to health.  The previous finding around care plans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identified allied health involvement in the care and wellbeing of the resident.  There was evidence the resident and their family/whānau were involved in the care planning.  Care plans are completed on the electronic resident management system, printed off and readily available to care staff.  Staff interviewed reported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visit.  There is documented evidence that the relatives have been notified regarding any changes to health including accident/incidents, infections, GP visits, medication changes, appointments and referrals.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care delivery and support by staff is consistent with their expectations.  Families confirmed they were kept informed of any changes to resident’s health status.  Electronic resident files reviewed included a record of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three wounds including one chronic leg ulcer, one surgical wound and one facility acquired stage two pressure injury (hospital resident).  Photos demonstrated the healing or non-healing process.  The chronic wound is linked to the long-term care plans.  Short-term care plans were in place for wounds.  Five RNs and one enrolled nurse interviewed confirmed there is wound care and advice readily available through the wound nurse specialist at Nurse Maude.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utilised to monitor a residents’ progress such as bowel monitoring, behaviour charts, weekly weighs, blood sugar levels, blood pressure monitoring, pain assessments, food and fluid monitoring, two hourly turn charts, daily exercise charts and enabler monitoring.  Enabler monitoring was in place for 11 residents on enablers.  The previous finding around enabler monitoring has been 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recreational programme manager who is progressing through diversional therapy papers, works 30 hours a week and oversees the activity team, documentation and spends one on one time with residents.  There are three other activities staff who work Monday to Friday.  There are eleven volunteers with four involved in canine friend visits four times a week, one on one activities with residents and the programme on Saturdays is led by volunteers.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at Rannerdale provide an activities programme encompassing links to the restorative model of care and enabling strong community links for the residents.  There is an integrated rest home/hospital programme scheduled across six days.  A monthly activities calendar is distributed to residents and is posted on noticeboards.  Group activities are voluntary and developed by the activities staff in consultation with the occupational therapist, physiotherapist and rehabilitation assistants (employed).   Residents are able to participate in a range of activities that are appropriate to their cognitive and physical capabilities.  A number of clubs and groups have been initiated by residents including the younger people.  Existing groups since the last audit have developed in interest and there have been more groups initiated as a result of resident interests and suggestions.  Some groups are resident 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On-site activities include board games, bowls, indoor games, exercises, quizzes, brain gym, walking groups, weekly entertainment, movie time, reminiscing, social gatherings and church services.  Activities for younger people include gym circuit sessions, breakfast club, coffee outings, playing pool, walks, one-on-one talks and visits into the community.  Special interest groups include a creativity group, a wellbeing group and art group.  A younger person has art displayed at the local library which interests other residents to visit the library.  Younger people are supported to access community groups/events of their interest.  A community access group spend one-on-one time with residents promoting their independence such as how to catch a bus, going with them on the bus to their destination and ensuring they feel comfortable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programme manager completes an initial assessment and resident profile, an activity care plan, and a 24-hour activities plan.  Evaluations are completed six-monthly as part of the multidisciplinary team review and complex team meetings.  Activities are varied to meet the needs of the groups of residents at the service.  The service has a van which is used for resident outings and trips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of the activity programme with feedback and suggestions for activities made via monthly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participating in activities on the days of audit.  Residents funded through the MOH disability contract have extra support to assist them to connect 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in six of eight resident files reviewed, (sample size was extended to two long-term residents under the ARC).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not been at the service six months.  Written evaluations identified if the desired goals had been met or unmet.  The GP reviews the residents at least three monthly or earlier if required.  Short-term care plans reviewed had been evaluated at regular intervals and resolved or if an ongoing problem this was added to the long-term care plan.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Regular and reactive maintenance occurs.  Medical equipment and electrical appliances have been tested and tagged and calibrated.  Hot water temperatures are checked regularly and are maintained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 facility has a designated resident smoking area away from the buildings.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Benchmarking occurs against similar facilities through healthcare compliance solutions.  Systems are in place that are appropriate to the size and complexity of the facility.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eleven residents with enablers (bed rails and/or lap belts).  Enabler use is voluntary.  Two resident files using enablers were reviewed, all had monitoring completed within the required timeframes.  The clinical coordinator is the restraint coordinator.  Staff training records evidenced that guidance had been given on restraint minimisation and enabler usage.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994"/>
        <w:gridCol w:w="87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in association with management, established several groups to meet specific resident needs.  These groups have gone on evolve further and gather more interest.  There have been new resident-initiated groups since the last audit.  The service has maintained the continuous improvement rating around meeting the recreational needs of all the resident groups.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have continued to include smaller groups in the activity plan that meets the needs of specific groups of residents.  Previous groups such as the art therapy group for residents with post-traumatic stress disorder (PTSD) has continued with a positive effect on social engagement and cohesiveness.  The lunch group has now become a “pop up” restaurant with themes and the group choice of meal which is now served in the “pop up” restaurant and to the residents in the dining room if they wish, who do not attend the “pop up” restaurant.  The happy hour has now become a social gathering with resident led activities.  A group of younger people initiated a baking group with choices on the baking theme that was shared with other residents and staff such as Halloween biscuits.  Feedback on the baking to the group improved their sense of wellbeing.  The mindfulness group has been beneficial for residents who choose their topic of discussion.  New groups also include the drama group and fall prevention group.  The falls prevention group are residents who have been identified (in consultation with the clinical manager and physiotherapist) as high or moderate risk of falls.  The service introduced the falls prevention group which focused on education, strength, balance and exercise.  The falls prevention group is held weekly.  There are also other exercise related activities in the programme that the residents can attend including circuit class, walking groups, sit and dance exercises, exercise class and circle bowls.  Since the introduction of the falls prevention group in July 2019 there has been a downward trend in falls from 34 in August to 22 in October.      </w:t>
            </w:r>
          </w:p>
          <w:p w:rsidR="00EB7645" w:rsidRPr="00BE00C7" w:rsidP="00BE00C7">
            <w:pPr>
              <w:pStyle w:val="OutcomeDescription"/>
              <w:spacing w:before="120" w:after="120"/>
              <w:rPr>
                <w:rFonts w:cs="Arial"/>
                <w:b w:val="0"/>
                <w:lang w:eastAsia="en-NZ"/>
              </w:rPr>
            </w:pPr>
            <w:r w:rsidRPr="00BE00C7">
              <w:rPr>
                <w:rFonts w:cs="Arial"/>
                <w:b w:val="0"/>
                <w:lang w:eastAsia="en-NZ"/>
              </w:rPr>
              <w:t>Each of these groups has been implemented to meet specific identified needs.  The combined implementation of each of the above groups has impacted positively on residents’ lives and evidenced in resident discussions, meeting minutes, review of the activity programme and the latest survey results.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Rannerdale War Veterans Home Limited - Rannerdale War Veterans' Hospital and Home</w:t>
    </w:r>
    <w:bookmarkEnd w:id="58"/>
    <w:r>
      <w:rPr>
        <w:rFonts w:cs="Arial"/>
        <w:sz w:val="16"/>
        <w:szCs w:val="20"/>
      </w:rPr>
      <w:tab/>
      <w:t xml:space="preserve">Date of Audit: </w:t>
    </w:r>
    <w:bookmarkStart w:id="59" w:name="AuditStartDate1"/>
    <w:r>
      <w:rPr>
        <w:rFonts w:cs="Arial"/>
        <w:sz w:val="16"/>
        <w:szCs w:val="20"/>
      </w:rPr>
      <w:t>1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