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Tainui Home Trust Board - Tainui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Tainui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Tainui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2019</w:t>
      </w:r>
      <w:bookmarkEnd w:id="7"/>
      <w:r w:rsidRPr="009418D4">
        <w:rPr>
          <w:rFonts w:cs="Arial"/>
        </w:rPr>
        <w:tab/>
        <w:t xml:space="preserve">End date: </w:t>
      </w:r>
      <w:bookmarkStart w:id="8" w:name="AuditEndDate"/>
      <w:r w:rsidR="00A4268A">
        <w:rPr>
          <w:rFonts w:cs="Arial"/>
        </w:rPr>
        <w:t>15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Tainui Rest Home provides residential services at rest home and hospital level care for up to 60 residents. The facility is operated by Tainui Home Trust Board and is managed by a chief executive officer. Residents and a families reported the care provided is of a high standard.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general practitioner and allied health professionals.</w:t>
      </w:r>
    </w:p>
    <w:p w:rsidRPr="00A4268A">
      <w:pPr>
        <w:spacing w:before="240" w:line="276" w:lineRule="auto"/>
        <w:rPr>
          <w:rFonts w:eastAsia="Calibri"/>
        </w:rPr>
      </w:pPr>
      <w:r w:rsidRPr="00A4268A">
        <w:rPr>
          <w:rFonts w:eastAsia="Calibri"/>
        </w:rPr>
        <w:t>An area requiring improvement from the previous audit relating to required support documented in the residents’ care plans has been addressed.</w:t>
      </w:r>
    </w:p>
    <w:p w:rsidRPr="00A4268A">
      <w:pPr>
        <w:spacing w:before="240" w:line="276" w:lineRule="auto"/>
        <w:rPr>
          <w:rFonts w:eastAsia="Calibri"/>
        </w:rPr>
      </w:pPr>
      <w:r w:rsidRPr="00A4268A">
        <w:rPr>
          <w:rFonts w:eastAsia="Calibri"/>
        </w:rPr>
        <w:t>Areas requiring improvement identified from this audit relate to the frequency of staff meetings, gaps in documented meeting minutes, circulation of resident meeting minutes and corrective actions as a result of the satisfaction survey and residents’ meetings.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quality assurance coordinator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Tainui Home Trust Board is the governing body and is responsible for the service provided. Business and quality and risk management plans include the scope, direction, goals, values and a mission statement. The chief executive officer and other senior staff provide reports to the board on progress towards meeting the objectives.</w:t>
      </w:r>
    </w:p>
    <w:p w:rsidRPr="00A4268A">
      <w:pPr>
        <w:spacing w:before="240" w:line="276" w:lineRule="auto"/>
        <w:rPr>
          <w:rFonts w:eastAsia="Calibri"/>
        </w:rPr>
      </w:pPr>
      <w:r w:rsidRPr="00A4268A">
        <w:rPr>
          <w:rFonts w:eastAsia="Calibri"/>
        </w:rPr>
        <w:t>The service is managed by an experienced chief executive officer who is suitably qualified. The chief executive officer is supported by the operations manager, the clinical nurse manager and the quality assurance coordinator.</w:t>
      </w:r>
    </w:p>
    <w:p w:rsidRPr="00A4268A">
      <w:pPr>
        <w:spacing w:before="240" w:line="276" w:lineRule="auto"/>
        <w:rPr>
          <w:rFonts w:eastAsia="Calibri"/>
        </w:rPr>
      </w:pPr>
      <w:r w:rsidRPr="00A4268A">
        <w:rPr>
          <w:rFonts w:eastAsia="Calibri"/>
        </w:rPr>
        <w:t>There is an internal audit programme in place. Adverse events are documented on adverse events forms. Corrective action plans for deficits relating to internal audits and adverse events are developed, implemented, monitored and signed off.  Quality, health and safety, registered and enrolled nurse, management, household and residents’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is implemented.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Registered nurses are rostered on duty at all times. Staff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Tainui Rest Home have their needs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that meet the requirements of the restraint minimisation and safe practice standard. There were residents using restraints and a resident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1"/>
        <w:gridCol w:w="1280"/>
        <w:gridCol w:w="101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complaints since the last audit,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quality assurance coordinator (QAC)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QAC reported 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families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if required. Staff advised there are currently no residents who require an interpreter.</w:t>
            </w:r>
          </w:p>
          <w:p w:rsidR="00EB7645" w:rsidRPr="00BE00C7" w:rsidP="00BE00C7">
            <w:pPr>
              <w:pStyle w:val="OutcomeDescription"/>
              <w:spacing w:before="120" w:after="120"/>
              <w:rPr>
                <w:rFonts w:cs="Arial"/>
                <w:b w:val="0"/>
                <w:lang w:eastAsia="en-NZ"/>
              </w:rPr>
            </w:pPr>
            <w:r w:rsidRPr="00BE00C7">
              <w:rPr>
                <w:rFonts w:cs="Arial"/>
                <w:b w:val="0"/>
                <w:lang w:eastAsia="en-NZ"/>
              </w:rPr>
              <w:t>Observation by the auditors evidenced effective communication and interaction between staff, residents and families. Residents and families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Tainui Rest Home is governed by a trust board that is responsible for setting the strategic direction and for the service at the facility. The Tainui strategic document 2019/20 includes a vision, four core enabling strategies – people first; excellent care; develop services; and not for profit/financially, and core indicators. The board meeting minutes evidenced identified objectives, with actions and progress on actions. The chief executive officer (CEO) reported they meet with the senior management team each Monday to discuss the activities within the service. The CEO and senior managers present reports to the board at their two monthly board meetings. Review of reports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CEO who has been in the position for six years. The CEO is an RN who has prior experience in leadership roles including the aged care sector. The CEO is supported by an experienced clinical nurse manager (CNM) who has been in the position for approximately six years. The CNM is supported by a senior RN.  The CNM and senior RN are responsible for oversight of the clinical service. Review of their personal files evidenced they have undertaken on going education in relevant areas including conferences, updates and forums held at the DHB.</w:t>
            </w:r>
          </w:p>
          <w:p w:rsidR="00EB7645" w:rsidRPr="00BE00C7" w:rsidP="00BE00C7">
            <w:pPr>
              <w:pStyle w:val="OutcomeDescription"/>
              <w:spacing w:before="120" w:after="120"/>
              <w:rPr>
                <w:rFonts w:cs="Arial"/>
                <w:b w:val="0"/>
                <w:lang w:eastAsia="en-NZ"/>
              </w:rPr>
            </w:pPr>
            <w:r w:rsidRPr="00BE00C7">
              <w:rPr>
                <w:rFonts w:cs="Arial"/>
                <w:b w:val="0"/>
                <w:lang w:eastAsia="en-NZ"/>
              </w:rPr>
              <w:t>Tainui Rest Home is certified to provide hospital level and rest home level care. Although the CNM reported all bedrooms have been approved as dual-purpose beds, rest home and hospital level residents are mainly cared for in designated areas.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contracts with the DHB for aged related residential care services (ARRC), respite, long term chronic health conditions (LTCHC) and enhanced intermediate care (EICAT). On the day of audit there were 13 hospital level residents and 39 rest home level residents under the ARRC contract, three rest home level residents under the EICAT contract and no residents under the respite and LTCHC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from Tainui village have occupational rights agreements (ORAs) and can access respite care in the facility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in place. Quality data is managed well and is entered into an electronic programme provided by an external company. Graphs were observed in the clinical areas and include benchmarking. Various meetings apart from staff meetings are held regularly. Meeting minutes reviewed evidenced there are gaps in the minutes documented. Staff meetings have not been held for some time and have been replaced with a weekly memo that is circulated around the facility. The memos evidenced reporting on quality data including trends. Staff stated they are expected to read the memos and sign off.</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for 2017 has been collated, however corrective actions have not been developed and implemented. The quality assurance coordinator (QAC) stated a satisfaction survey was not undertaken in 2018. Although the residents’ meetings are documented, they are not made available to residents and corrective actions have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referenced legislative requirements. Policies / procedures are reviewed and updated by the external company who provides them and were current.  Obsolete policies are archived in the electronic system. Staff are notified via the weekly memo of reviewed and updated/new policies.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included a matrix and a hazard/risk register includes risks associated with clinical, human resources, legislative compliance, contractual and environmental risk. All hazards are entered onto an adverse event form. The hazard/risk register includes actual and potential hazards and the actions put in place to minimise or eliminate the hazard. Newly found hazards are communicated to staff and residents as appropriate. Staff confirmed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adverse event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QAC reported there have been two Section 31  notifications to HealthCERT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An orientation workbook includes competencies and all new staff are required to complete this. The workbook is completed within three months of employment. Staff performance is reviewed at the end of this period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in place and covers all required subjects. ‘Toolbox talks’ at handover, specific topics relating to resident’s health status and staff meetings and one to one training is provided. The local DHB also provides education sessions for RNs and staff attended other external education. Individual records of education are held on staff files and electronically. Separate registers are held for both RN/ENs and caregivers. Competencies were current including for medication management and restraint. Attendance records are maintained. Of the 11 RNs, five are interRAI trained, including the CNM and senior RN and have current competencies. All RNs and other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Care staff are currently completing level three.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based on the Ministry of Health ‘Indicators for Safe-Care and Dementia Care for Consumers’ and staffing requirement in-line with the contract with the DHB. The rosters evidenced staffing levels exceed the minimum requirements. The CNM reported the rosters are reviewed continuously and dependency levels of residents and the physical environments are considered.  The CNM and senior RN work full time. The rostering is divided for the rest home area and the hospital area. Each area has an RN or EN rostered on duty on the morning shift and an RN on the afternoon shifts. An RN is on the night shift and covers the two areas. The CNM or senior RN are on call for clinical matters and the operations manager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All the RNs have two to 12 years’ experience, there are no new graduates employed. The two ENs have 20 to 30 years’ experience. Caregivers are employed to cover the three shifts and additional hours are available if the acuity levels of residents increase. Laundry and cleaning is undertaken by dedicated staff. Two diversional therapists are employed and provide activities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were happy with the staffing levels and there were enough staff on duty to provide them or their relative with a high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manager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(June 1,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New Plymouth District Council. The expiry date of registration is 19 June 2020. A verification audit of the food control plan was undertaken by the council 12 September 2018. Three areas were identified as requiring corrective action and these were verified as compliant 20 November 2018. A new verification audit is due to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 2017 resident satisfaction survey and resident meeting minutes. Residents are offered three meal choices at lunchtime, two hot dishes and a cold dish. At teatime there is a choice of soup, a hot meal or a light meal. Interview with the cook identified the cook gauges resident’s satisfaction with meals at each mealtime, and any areas of dissatisfaction are attended to promptly. Residents were seen to be given time to eat their meal in an unhurried fashion and those requiring assistance had this provided. The tables had tablecloths on and were presented in an appealing manner, that enhanced the dining experience. There were enough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This finding addresses a previous corrective action, whereby documentation in the care plan was not always reflective of the required support the resident needed to meet their desired outcome.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at Tainui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A chaplain is on site seven days a week, to attend to residents’ spiritual needs, in addition to a hairdresser and a nail technician. Twenty-two volunteers assist the diversional therapists to run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is diverse and matches the skills, likes, dislikes and interests identified in assessment data. Activities reflected residents’ goals, ordinary patterns of life and included normal community activities. Individual, group activities and regular events are offered. Examples included exercises, a resident cockatiel is cared for by residents daily, cooking sessions, knitting groups, a men’s group run by a male chaplain, visiting entertainers, quiz sessions and daily news updates. The activities programme is discussed at the monthly residents’ meetings and minutes indicated residents’ input is sought (refer criterion 1.2.3.1). The latest, resident and family satisfaction surveys (2017), demonstrated satisfaction with the range of activities offered. Residents and resident’s family members confirmed they find the programme meets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Tainui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that expires on the 29 January 2020.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infections at Tainui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CNM review all reported infections. Monthly surveillance data is collated and analysed to identify any trends, possible causative factors and required actions. Results of the surveillance programme are shared with staff via graphs in the staffrooms and at staff handovers (refer criterion 1.2.3.1). Surveillance data is entered in the organisation’s electronic infection database. Graphs are produced that identify trends for the current year, and comparisons against previous years. Data is benchmarked nationally against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February 2019, lasted four days and was promptly contained. Documentation evidences the outbreak was managed appropriately in a highly efficient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the senior RN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four residents using a restraint and one resident using an enabler. There is a focus to reduce the use of restraint and the senior RN stated the aim is to be restraint free. Review of the register evidenced restraint use has decreased by five over the past 12 months. The senior RN reported apart from the use of equipment, effective education for staff around the use of restraints and assessing and monitoring why residents are falling and managing this better has helped. Families are actively educated around the risks associated with their relative using restraint. These measures in place have meant restraints are activity minimised. Staff interviewed demonstrated good knowledge concerning restraint minimisation and safe practice.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7659"/>
        <w:gridCol w:w="2037"/>
        <w:gridCol w:w="15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Tainui has a quality and risk management system that guides the quality programme. Quality data is collected, collated and comprehensively analysed, including audits, incidents/accidents and clinical indicators and entered into the electronic programme. The programme produces graphs, reports and benchmarking with other like facilities. Graphs are comprehensive and provide good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quality/management/infection prevention and control/restraint, RN/EN, health and safety, and resident meetings are held regularly. Meeting minutes reviewed evidenced there are gaps in the minutes being documented for the quality/management and RN/EN meetings. The resident meeting minutes are kept electronically and are not provided for residents to read. The QAC stated a satisfaction survey was not undertaken in 2018 and that the 2019 survey is about to go out to residents and families. Staff meetings have been replaced with weekly memos. Staff reported meetings have not been held for some time. The memos evidenced a variety of information including reporting back to staff of corrective actions and trends as a result of analysing quality data. The memos give instruction to summarise the memos at the afternoon, night and morning handover, write in the communication diary as needed, then file and staff are to initial when they have read it. However, not all staff are signing that they have read the memos. As staff meetings are not held, this method of communication means that staff are not able to formally discuss activities, information and instructions presented to them collectively and a record kept.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are gaps in the documented meeting minutes for the quality/management and RN/EN meetings and as staff meeting are not held, minutes were not available.</w:t>
            </w:r>
          </w:p>
          <w:p w:rsidR="00EB7645" w:rsidRPr="00BE00C7" w:rsidP="00BE00C7">
            <w:pPr>
              <w:pStyle w:val="OutcomeDescription"/>
              <w:spacing w:before="120" w:after="120"/>
              <w:rPr>
                <w:rFonts w:cs="Arial"/>
                <w:b w:val="0"/>
                <w:lang w:eastAsia="en-NZ"/>
              </w:rPr>
            </w:pPr>
            <w:r w:rsidRPr="00BE00C7">
              <w:rPr>
                <w:rFonts w:cs="Arial"/>
                <w:b w:val="0"/>
                <w:lang w:eastAsia="en-NZ"/>
              </w:rPr>
              <w:t>(ii)Resident meeting minutes are documented, however, they are stored electronically and not circulated for residents to read.</w:t>
            </w:r>
          </w:p>
          <w:p w:rsidR="00EB7645" w:rsidRPr="00BE00C7" w:rsidP="00BE00C7">
            <w:pPr>
              <w:pStyle w:val="OutcomeDescription"/>
              <w:spacing w:before="120" w:after="120"/>
              <w:rPr>
                <w:rFonts w:cs="Arial"/>
                <w:b w:val="0"/>
                <w:lang w:eastAsia="en-NZ"/>
              </w:rPr>
            </w:pPr>
            <w:r w:rsidRPr="00BE00C7">
              <w:rPr>
                <w:rFonts w:cs="Arial"/>
                <w:b w:val="0"/>
                <w:lang w:eastAsia="en-NZ"/>
              </w:rPr>
              <w:t>(iii)Weekly memos have replaced the staff meetings and staff do not have the opportunity to discuss quality data, information and instructions as a collective.</w:t>
            </w:r>
          </w:p>
          <w:p w:rsidR="00EB7645" w:rsidRPr="00BE00C7" w:rsidP="00BE00C7">
            <w:pPr>
              <w:pStyle w:val="OutcomeDescription"/>
              <w:spacing w:before="120" w:after="120"/>
              <w:rPr>
                <w:rFonts w:cs="Arial"/>
                <w:b w:val="0"/>
                <w:lang w:eastAsia="en-NZ"/>
              </w:rPr>
            </w:pPr>
            <w:r w:rsidRPr="00BE00C7">
              <w:rPr>
                <w:rFonts w:cs="Arial"/>
                <w:b w:val="0"/>
                <w:lang w:eastAsia="en-NZ"/>
              </w:rPr>
              <w:t>(vi)A resident/family satisfaction survey was not undertaken in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minutes are documented for all meetings held; (ii) the residents meeting minutes are circulated following each meeting held; (iii) regular formal staff are re-introduced; and (vi) the resident/family satisfaction survey is undertaken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being developed and implemented following internal audits and adverse events and closed out.  Although the satisfaction survey for 2017 has been collated, corrective actions have not been developed and implemented for deficits identified by residents and families. Resident meetings are held monthly and minutes documented; however, corrective actions to address areas requiring improvement have not be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not been developed and implemented for deficits identified in the 2017 resident/family satisfaction survey and the monthly resident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and implemented to address all areas requiring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Tainui Home Trust Board - Tainui Resthome</w:t>
    </w:r>
    <w:bookmarkEnd w:id="58"/>
    <w:r>
      <w:rPr>
        <w:rFonts w:cs="Arial"/>
        <w:sz w:val="16"/>
        <w:szCs w:val="20"/>
      </w:rPr>
      <w:tab/>
      <w:t xml:space="preserve">Date of Audit: </w:t>
    </w:r>
    <w:bookmarkStart w:id="59" w:name="AuditStartDate1"/>
    <w:r>
      <w:rPr>
        <w:rFonts w:cs="Arial"/>
        <w:sz w:val="16"/>
        <w:szCs w:val="20"/>
      </w:rPr>
      <w:t>15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