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Servces NZ Limited - Tasman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Tasman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October 2019</w:t>
      </w:r>
      <w:bookmarkEnd w:id="7"/>
      <w:r w:rsidRPr="009418D4">
        <w:rPr>
          <w:rFonts w:cs="Arial"/>
        </w:rPr>
        <w:tab/>
        <w:t xml:space="preserve">End date: </w:t>
      </w:r>
      <w:bookmarkStart w:id="8" w:name="AuditEndDate"/>
      <w:r w:rsidR="00A4268A">
        <w:rPr>
          <w:rFonts w:cs="Arial"/>
        </w:rPr>
        <w:t>30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Tasman Care Home is part of the Bupa group.  The service provides rest home and hospital (geriatric and medical) level care for up to 72 residents with an occupancy of 64 residents on the day of audit.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a review of policies and procedures; a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care home manager is supported by head office staff with a clinical manager on site providing oversight of clinical care.</w:t>
      </w:r>
    </w:p>
    <w:p w:rsidRPr="00A4268A">
      <w:pPr>
        <w:spacing w:before="240" w:line="276" w:lineRule="auto"/>
        <w:rPr>
          <w:rFonts w:eastAsia="Calibri"/>
        </w:rPr>
      </w:pPr>
      <w:r w:rsidRPr="00A4268A">
        <w:rPr>
          <w:rFonts w:eastAsia="Calibri"/>
        </w:rPr>
        <w:t>There were no corrective actions identified at the previous audit.</w:t>
      </w:r>
    </w:p>
    <w:p w:rsidRPr="00A4268A">
      <w:pPr>
        <w:spacing w:before="240" w:line="276" w:lineRule="auto"/>
        <w:rPr>
          <w:rFonts w:eastAsia="Calibri"/>
        </w:rPr>
      </w:pPr>
      <w:r w:rsidRPr="00A4268A">
        <w:rPr>
          <w:rFonts w:eastAsia="Calibri"/>
        </w:rPr>
        <w:t xml:space="preserve">Improvement identified at this audit include, completion of neurological observations; completion of performance appraisals in a timely manner; and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and family confirmed they are provided with adequate information and that communication is open.  </w:t>
      </w:r>
    </w:p>
    <w:p w:rsidRPr="00A4268A">
      <w:pPr>
        <w:spacing w:before="240" w:line="276" w:lineRule="auto"/>
        <w:rPr>
          <w:rFonts w:eastAsia="Calibri"/>
        </w:rPr>
      </w:pPr>
      <w:r w:rsidRPr="00A4268A">
        <w:rPr>
          <w:rFonts w:eastAsia="Calibri"/>
        </w:rPr>
        <w:t xml:space="preserve">Residents are informed of the complaints process and there are policies and procedures in place to investigate complaints with these investigated in a timely manner.  A register of complaints is kept.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an implemented quality and risk management programme.  Adverse, unplanned, and untoward events are documented by staff and reviewed by the care home manager.  All aspects of the quality programme are discussed at relevant meetings.  The health and safety programme is implemented. </w:t>
      </w:r>
    </w:p>
    <w:p w:rsidRPr="00A4268A">
      <w:pPr>
        <w:spacing w:before="240" w:line="276" w:lineRule="auto"/>
        <w:rPr>
          <w:rFonts w:eastAsia="Calibri"/>
        </w:rPr>
      </w:pPr>
      <w:r w:rsidRPr="00A4268A">
        <w:rPr>
          <w:rFonts w:eastAsia="Calibri"/>
        </w:rPr>
        <w:t>Human resources are managed in accordance with good employment practice.  An orientation programme is in place for new staff.  An annual staff education and training plan is well attended with all staff attending mandatory training as required.  Registered nursing cover is provided on a morning and afternoon shift, seven days a week with adequate numbers of care staff on each floor.</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Care plans reviewed in resident records were individualised and demonstrated service integration.  Care plans are evaluated at least six monthly.  InterRAI assessment timeframes had been met.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caregivers responsible for administration of medicines complete education and medication competencies.  Medication charts are reviewed three monthly by the general practitioner.    </w:t>
      </w:r>
    </w:p>
    <w:p w:rsidRPr="00A4268A" w:rsidP="00621629">
      <w:pPr>
        <w:spacing w:before="240" w:line="276" w:lineRule="auto"/>
        <w:rPr>
          <w:rFonts w:eastAsia="Calibri"/>
        </w:rPr>
      </w:pPr>
      <w:r w:rsidRPr="00A4268A">
        <w:rPr>
          <w:rFonts w:eastAsia="Calibri"/>
        </w:rPr>
        <w:t xml:space="preserve">An activities team coordinates and implements the activity programmes for the residents.  The programmes includes community visitors,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All meals and baking are prepared on-site.  Residents' food preferences and dietary requirements are identified at admission and accommodated.  The menus are reviewed annually by the BUPA dietitian.  Residents commented positively on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The service has a reactive and preventative maintenance programme in place.  Fire evacuations have been undertaken six monthly.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regularly receive training around restraint minimisation and the management of challenging behaviour.  There are two restraints in use (bedrails) and no enablers used in the service.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 surveillance programme is documented and undertaken, and this is appropriate to the size and complexity of the service.  Results of surveillance are acted upon, evaluated and reported to relevant personnel in a timely manner.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Complaints forms are in a visible location at the entrance to the facility.  The care home manager maintains a record of all complaints, both verbal and written, by using a complaint’s register.  Twelve complaints are recorded as having been made in 2019 to date.  Three complaints reviewed had documented evidence of appropriate follow-up actions taken as per timeframes documented in the policy.  Documentation including acknowledgement of the complaint within five days, follow-up letters and resolution of complaints with each complainant contacted either by phone or in person to discuss the outcome.  Any corrective actions identified have been documented, followed-up and implemented.  Discussions with six residents (three rest home, two hospital and one interim care resident) and relatives confirmed they were provided with information on complaints and complaints forms.  All residents and family interviewed confirmed that they are comfortable raising complaints and believe that these are addressed as soon as they are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of an accident/incident.  Fourteen accident/incident forms reviewed from September or October 2019 confirmed that family are kept informed.  Two family with a hospital level resident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Tasman Care Home is a Bupa residential care facility.  The service is certified to provide rest home and hospital (geriatric and medical) level care.  There are 72 dual-purpose beds located across three levels in the care facility.  At the time of the audit there were 64 residents, including 24 rest home level residents (two using respite level of care) and 40 hospital level residents (including one identified as being under an interim care scheme District Health Board contract).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quality/health and safety goals for 2019 for the facility have been determined, which link to the overarching Bupa strategic plan.  Tasman Care Home is part of the Northern One group.  The operations manager teleconferences with the managers from the region fortnightly to discuss the organisational goals and their progress towards these.  A monthly report is prepared by the care home manager and sent to the operations manager and the Bupa continuous service improvements (CSI) team on the progress and actions that have been taken to achieve the Tasman Care Home quality goals.  The operations manager completes a report to the director of care homes and rehabilitation.</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at Tasman Care Home has been in the role for three years and has extensive experience in managerial roles.  They are supported by a clinical manager who has worked in aged care for six years with two years in the current role as clinical manager.  Staff spoke positively about the support/direction and management of the current management team.  The operations manager supports the management team and was present during the audit along with a relieving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maintained over eight hours annually of professional development activities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Tasman Care Home has a quality and risk management system that supports the provision of clinical care and support.  Quality and risk data results are discussed in the quality/staff/registered nurse meetings.  An annual internal audit schedule was sighted for the service with evidence of internal audits occurring as per the audit schedule.  Corrective actions are established, implemented and are signed off when completed.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service introduces and evaluates quality goals annually.  The 2019 annual Quality and Health and Safety Goals include: a focus on decreasing urinary tract infections (UTI’s) at rest home level; to have 95% or above of fully implemented multidisciplinary reviews for all residents in 2019; more meal variety and more interaction with other care homes and community groups.  The service continues to work towards these goals.  The care and home manager states that the service has improved services with implementation of the goals with data reviewed confirming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and complaints management.  Data is being collected monthly, with documentation of analysis and discussion of trends with results communicated to staff.  The internal audit schedule for 2019 has been implemented.  Internal audits reviewed for 2019 confirmed that these had corrective actions in place and showed evidence of resolution of issues.  There are a range of satisfaction surveys including a satisfaction survey completed last in 2019 with a very positive overall satisfaction of service.  Corrective action plans are documented with evidence of resolution of issues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forums to discuss issues, review data and information and for staff to feed in suggestions for quality improvement.  These include resident meetings, a falls focus meeting, staff meeting; clinical meetings; management meetings; quality review meetings; infection control meetings and household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Health and safety goals are established and regularly reviewed.  Risk management, hazard control and emergency policies and procedures are being implemented and are monitored by the health and safety committee.  Hazard identification forms and a hazard register are in place.  There are procedures to guide staff in managing clinical and non-clinical emergencies.  All new staff and contractors undergo a health and safety orientation programme with this sighted on staff files reviewed.  There is a health and safety committee that meets two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including increasing staff at high risk falls times at hospital level care and the identification of interventions on a case by case basis to minimise future falls.  The falls focus meeting is used to discuss prevention of falls, strategies to manage further falls and as a forum to provide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uses Riskman which is an electronic incident reporting system to record and analyse risks including incidents, accidents, hazards and complaints.  Individual reports are completed for each incident/accident, with immediate action noted and any follow-up action(s) required.  Incident/accident data is linked to the organisation's quality and risk management programme and is used for comparative purposes.  Fourteen accident/incident forms were reviewed.  Each event involving a resident reflected a clinical assessment and follow-up by a registered nurse.  Neurological observations were completed for resident falls reviewed that resulted in a potential or actual head injury, however the observations were not recorded as per timeframes in policy.  </w:t>
            </w:r>
          </w:p>
          <w:p w:rsidR="00EB7645" w:rsidRPr="00BE00C7" w:rsidP="00BE00C7">
            <w:pPr>
              <w:pStyle w:val="OutcomeDescription"/>
              <w:spacing w:before="120" w:after="120"/>
              <w:rPr>
                <w:rFonts w:cs="Arial"/>
                <w:b w:val="0"/>
                <w:lang w:eastAsia="en-NZ"/>
              </w:rPr>
            </w:pPr>
            <w:r w:rsidRPr="00BE00C7">
              <w:rPr>
                <w:rFonts w:cs="Arial"/>
                <w:b w:val="0"/>
                <w:lang w:eastAsia="en-NZ"/>
              </w:rPr>
              <w:t>Incidents are all reviewed by the clinical manager.  Incidents are benchmarked and analysed for trends.  The care home manager and clinical manager were aware of their requirement to notify relevant authorities in relation to essential notifications.  One section 31 notification was completed for an unstageable pressure injury in 2019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(one clinical manager, one unit-coordinator, two registered nurses, two caregivers, one kitchen manager, and one activities coordinator) reviewed, evidenced implementation of the recruitment process, employment contracts and completed orientation.  Performance appraisals have not been completed annually.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is developed specifically to worker type (e.g., registered nurse, support staff) and includes documented competencies.  The caregivers when newly employed, complete an orientation booklet that has been aligned with foundation skills unit standards.  On completion of this orientation, they have effectively attained their first national certificate.  From this, they are then able to continue with Core Competencies Level 3, unit standards.  These align with Bupa policy and procedures.  Of a total of 33 caregivers, a total of 17 caregivers have completed level 4 CareerForce; five who are currently studying level 4; nine who are studying level 3; two caregivers at beginning stage of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for 2019.  Staff interviewed confirmed that there is sufficient training provided and that the sessions are at suitable times.  Caregivers interviewed stated that the improvements in training offered over the years has enhanced their ability to provide quality of care.  The service offers the same topics at different times and this allows staff to attend at a time that suits them.  Opportunistic education is provided via toolbox talks.  These occur at times in relation to incidents or complaints.  For example, toolbox training was provided in response to three complaints documented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eleven RNs (including the clinical manager and unit coordinator) and five have completed interRAI training.  Core competencies are completed annually, and a record of completion is maintained (signed competency questionnaires sighted in reviewed files).  There are a number of implemented competencies for registered nurses including insulin administration, moving &amp; handling, nebuliser, oxygen administration, PEG tube care/feeds, restraint, wound management, syringe driver and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includes skill mixes.  Tasman Care Home has a four-weekly roster in place which ensures there are adequate staffing levels to meet the acuity and safety needs of the residents.  The care home manager and clinical manager are both full time and available during weekdays.  The care home manager is on-call after hours for any organisational concerns and the clinical manager, unit coordinator and a senior RN share the on-call for any clinical issues.  A model of nursing care and caregiver roster is in place to ensure staff have a greater level of security of hours whilst allowing the roster to be responsive to occupancy.  Adequate RN cover is provided 24 hours a day, seven days a week.  Sufficient numbers of caregivers support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three levels of 24 beds.  On level one with 24 residents in total, there are 16 rest home including one on respite care and eight hospital residents; on level two with 21 residents, there are 5 rest home and 16 hospital level residents including one interim level care; and on level three, (19 residents, - four rest home level including one respite and 15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on each shift (each level) plus a flexi caregiver on the afternoon shift added if there is full or near full occupancy.  On the afternoon shift, there are three caregivers on each level.  Overnight, there are three caregivers and two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each morning and afternoon shift on levels two and three and a registered nurse rostered onto the morning shift for five days a week.  An extra registered nurse is roistered on to an afternoon for one day a week to support the doctor’s round.  Staff, residents, family and managers confirm that there are sufficient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 unit manager (registered nurse) on level 2 in the AM.</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staffing was sufficient.  Residents and relatives interviewed confirmed bells were answered in a timely manner and staffing was sufficient.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Staff who administer medications (RNs and medication competent caregivers) have been assessed for competency on an annual basis.  Registered nurses have completed syringe driver training.  Education around safe medication administration has been provided annually.  There is evidence of medication reconciliation on delivery of medications (robotic rolls).  The three medication fridges had temperatures monitored and recorded daily and these were maintained within the acceptable temperature range.  All eye drops were dated on opening.  Standing orders that are used by the service were reviewed and approved by the GP.  There was one self-medicating resident on the day of audit.  An updated medication competency assessment was present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All ten medication charts had photo identification and allergy status documented on the chart.  All ten medication charts met prescribing legislative requirements for regular and ‘as required’ medications however the effectiveness of ‘as required’ medication was not documented after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on-site by a qualified head chef (Monday-Friday) who is supported by casual weekend cooks and three kitchenhands.  The head chef also oversees the procurement of the food and management of the kitchen.  All kitchen staff have completed food safety training.  The organisational four-weekly seasonal menu has been reviewed by the Bupa dietitian.  The menu has a vegetarian option and diabetic desserts.  Modified meals are also provided.  The chef receives the resident’s nutritional requirement form on admission and is notified of any dietary changes.  The daily menu is displayed in all dining areas.   The cooked food is delivered to the rest home, and hospital in bain maries.  Each floor has a well-equipped kitchenette that has a servery out to the dining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 cooked meat temperatures are taken and recorded daily.  Perishable foods sighted in the fridges were date labelled.  The dishwasher is checked regularly by the chemical supplier.  Staff have received training in chemical safety.  Chemicals are stored safely.  A weekly and monthly cleaning schedule is maintained.  There is a kitchen manual and a range of policies and procedures to safely manage the kitchen and meal services.  Audits are conducted to monitor performance and quality interventions implemented to address shortfalls.  The food control plan expires on the 23 March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and cultural meals were enjoyed.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was documented evidence that family members were notified of any changes to their relative’s health status.  Changes to residents’ health and required supports is updated on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were updated to reflect current needs and changes in care.  Both the interim care and respite resident had initial assessments and a basic care plan that addressed all identified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rooms.  The service had detailed wound management policies and procedures.  Wound assessment and treatment forms, ongoing evaluation forms and evaluation notes were in place for six hospital residents with wounds (three skin tears and three chronic leg ulcers).  There were no residents with pressure injuries on the day of the audit.  On interview, the three RNs and the unit coordinator stated that they could access the DHB wound or continence specialist nurse if they assessed that this was required.  There is evidence in files of the wound specialist consultations for the residents with chronic leg ulcers.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two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place for weekly and monthly weights and vital signs, blood glucose, pain, turning charts and behaviour monitoring as required, however there was a shortfall around neurological observations not being fully completed, as per policy for residents that have had unwitnessed falls (link 1.2.4.3).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activities coordinator and two activity assistants to provide an integrated rest home, and hospital activities programme from Monday to Friday.  The team is led by a qualified diversional therapist.  The care staff oversee the activities programme over the weekends and public holidays.  All three staff members have attended BUPA activity study days and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programmes; one covering all three levels of the hospital and rest home and another for the serviced apartments.  Residents in the serviced apartments attend some care home activities.  The activities programme includes bingo, bowls, pet therapy, board, weekly movies and word games and a knitting club.  There are regular musical entertainers and visitors to the facility including school choirs, school children and babies, visitors with their dogs and residents from other care homes.  There are twice weekly (Mondays and Fridays) van outings to places of interest, shops and cafés, picnics, community functions and inter-home bowls competitions.  Events such as birthdays, Easter, Mother’s Day, ANZAC Day are celebrated.  Residents are encouraged to maintain community links such as library visits, shopping outings into the community and visits to other local rest homes.  Church services are held every second Sunday.  Daily one-on-one activities occur such as individual walks, reading and chats and nail/hand care for residents who are unable or choose not to be involved in group activities.  The physiotherapy assistant facilities an exercise class twice a week for residents that are high falls risk and implements individual exercise programmes as prescribed by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Map of Life is completed for all residents on admission.  Socialising and activities are included in the My Day, My Way care plan.  A copy of the Map of Life and the two-weekly activities programme is available in each resident’s room for easy access to residents, family and staff.  The activity assistants are involved in the six-monthly MDT review.  The service receives feedback and suggestions for the programme through surveys and resident meetings.  Residents and family members interviewed stated the activity programme was varied and there were lots to choose from.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care plans reviewed were updated by the registered nurses as the resident’s care requirements changed.  The three long-term care plan evaluations reviewed were comprehensive, related to each aspect of the care plan and recorded the degree of achievement of goals and interventions.  All three long-term care plans were evaluated within the required timeframes.  The short-term care plans reviewed for short term needs were evaluated and signed off as resolved or added to the long-term care plan as an ongoing problem.  The care staff interviewed stated they were informed of any changes to resident care.  Activities plans are in place for all three long term resident files and these are also evaluated six-monthly.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Tasman Care Home has a current building warrant of fitness is posted in a visible location (expiry 16 June 2020).  There is a maintenance person employed (from Monday to Friday and on call after hours and on weekends) to address the reactive and planned maintenance programme.  All medical and electrical equipment has been recently serviced and/or calibrated.  Hot water temperatures are monitored and managed within 43-45 degrees Celsius.  The facility has sufficient space for residents to mobilise using mobility aids.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(clinical manager)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laboratory that advise and provide feedback/information to the service.  Data is benchmarked with other facilities and improvements made when required as a result of analysis of data.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two residents using a restraint (bed rails) and no residents with an enabler.  Staff training around restraint minimisation was last completed in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23"/>
        <w:gridCol w:w="1280"/>
        <w:gridCol w:w="4831"/>
        <w:gridCol w:w="1718"/>
        <w:gridCol w:w="23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are taken when a resident has an unwitnessed fall or a fall where there has been a head injury.  Six incident forms reviewed related to resident’s who had unwitnessed falls.  Of these, five did not have neurological observations taken as per timeframes in the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recorded however the timeframes for recording these are not adhered to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any neurological observations for a resident who has had an unwitnessed fall or a head injury following a fall are recorded for the time required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identifies that annual performance appraisals are expected to occur.  One of the eight staff files reviewed showed evidence of an annual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eight staff files did not include evidence of annual performance appraisals.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annual performance appraisals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and PRN (as required) medications were prescribed and administered correctly.  All ten of medication charts had been reviewed by the GP three monthly.  The standing orders in use were reviewed and approved by the GP.  In five of the ten medications charts, the effectiveness of ‘as required’ medication administered was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ten medication charts did not have the effectiveness of ‘as required’ medication recorded after administration.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effectiveness of ‘as required’ medication is recorded after administration.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Servces NZ Limited - Tasman Care Home</w:t>
    </w:r>
    <w:bookmarkEnd w:id="58"/>
    <w:r>
      <w:rPr>
        <w:rFonts w:cs="Arial"/>
        <w:sz w:val="16"/>
        <w:szCs w:val="20"/>
      </w:rPr>
      <w:tab/>
      <w:t xml:space="preserve">Date of Audit: </w:t>
    </w:r>
    <w:bookmarkStart w:id="59" w:name="AuditStartDate1"/>
    <w:r>
      <w:rPr>
        <w:rFonts w:cs="Arial"/>
        <w:sz w:val="16"/>
        <w:szCs w:val="20"/>
      </w:rPr>
      <w:t>30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