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Feilding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Feilding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2019</w:t>
      </w:r>
      <w:bookmarkEnd w:id="7"/>
      <w:r w:rsidRPr="009418D4">
        <w:rPr>
          <w:rFonts w:cs="Arial"/>
        </w:rPr>
        <w:tab/>
        <w:t xml:space="preserve">End date: </w:t>
      </w:r>
      <w:bookmarkStart w:id="8" w:name="AuditEndDate"/>
      <w:r w:rsidR="00A4268A">
        <w:rPr>
          <w:rFonts w:cs="Arial"/>
        </w:rPr>
        <w:t>19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Karaka Court Limited - Woodlands of Feilding Home; owns and operates Woodlands of Feilding.    </w:t>
      </w:r>
    </w:p>
    <w:p w:rsidRPr="00A4268A">
      <w:pPr>
        <w:spacing w:before="240" w:line="276" w:lineRule="auto"/>
        <w:rPr>
          <w:rFonts w:eastAsia="Calibri"/>
        </w:rPr>
      </w:pPr>
      <w:r w:rsidRPr="00A4268A">
        <w:rPr>
          <w:rFonts w:eastAsia="Calibri"/>
        </w:rPr>
        <w:t xml:space="preserve">The service provides care for up to 80 residents.  On the day of audit, there were 75 residents.  All but one of the residents were under the age-related residential care services agreement, one resident was funded through the younger person disabled contract. </w:t>
      </w:r>
    </w:p>
    <w:p w:rsidRPr="00A4268A">
      <w:pPr>
        <w:spacing w:before="240" w:line="276" w:lineRule="auto"/>
        <w:rPr>
          <w:rFonts w:eastAsia="Calibri"/>
        </w:rPr>
      </w:pPr>
      <w:r w:rsidRPr="00A4268A">
        <w:rPr>
          <w:rFonts w:eastAsia="Calibri"/>
        </w:rPr>
        <w:t>This second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clinical facility manager has significant experience in health management and is an experienced registered nurse.  She is supported by a clinical coordinator, also an experienced registered nurse.  The company director also plays a role in management.</w:t>
      </w:r>
    </w:p>
    <w:p w:rsidRPr="00A4268A">
      <w:pPr>
        <w:spacing w:before="240" w:line="276" w:lineRule="auto"/>
        <w:rPr>
          <w:rFonts w:eastAsia="Calibri"/>
        </w:rPr>
      </w:pPr>
      <w:r w:rsidRPr="00A4268A">
        <w:rPr>
          <w:rFonts w:eastAsia="Calibri"/>
        </w:rPr>
        <w:t xml:space="preserve">The service has a business plan, which is reviewed annually.  The service has quality goals, which have been reviewed regularly.  </w:t>
      </w:r>
    </w:p>
    <w:p w:rsidRPr="00A4268A">
      <w:pPr>
        <w:spacing w:before="240" w:line="276" w:lineRule="auto"/>
        <w:rPr>
          <w:rFonts w:eastAsia="Calibri"/>
        </w:rPr>
      </w:pPr>
      <w:r w:rsidRPr="00A4268A">
        <w:rPr>
          <w:rFonts w:eastAsia="Calibri"/>
        </w:rPr>
        <w:t>Four of six shortfalls identified as part of the previous audit have been addressed.  These were around; staffing levels, timeframes for nursing documentation, activities and kitchen services.  There are continued shortfalls around training and nursing interventions.</w:t>
      </w:r>
    </w:p>
    <w:p w:rsidRPr="00A4268A">
      <w:pPr>
        <w:spacing w:before="240" w:line="276" w:lineRule="auto"/>
        <w:rPr>
          <w:rFonts w:eastAsia="Calibri"/>
        </w:rPr>
      </w:pPr>
      <w:r w:rsidRPr="00A4268A">
        <w:rPr>
          <w:rFonts w:eastAsia="Calibri"/>
        </w:rPr>
        <w:t>This audit has also identified a further shortfall around the internal audit process.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Woodlands of Feilding has a documented quality and risk system.  Quality data is collated for accident/incidents, infection control,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programme that provides staff with relevant information for safe work practices.  There is a staffing policy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were in place for all residents and included family/whānau involvement where appropriate.  There is a medication management system in place that follows appropriate administration and storage practices.  Each resident is reviewed at least three-monthly by their general practitioner.  A range of individual and group activities is available and coordinated by the activity staff.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no residents using restraints and twelve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8"/>
        <w:gridCol w:w="1280"/>
        <w:gridCol w:w="100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and complaint forms are available in the foyer.  A record of all complaints, both verbal and written is maintained by the facility manager using a complaints’ register.  There have been three complaints made since the previous audit.  All complaints have been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complaints documentation evidenced resolution of the complaint to the satisfaction of the complainant and advocacy offered.  Five residents (three hospital including one younger person and two rest home) interviewed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Interviews with the clinical facility manager, clinical coordinator, and two registered nurses confirmed family are kept informed.  Two hospital relatives interviewed stated they are notified promptly of any incidents/accidents and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with families continues to be well documented.  Monthly resident meetings encourage open discussion around the services provided (meeting minutes sighted).  Five resident files reviewed included family contact sheets.  Twelve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Karaka Court Limited - Woodlands of Feilding Home owns and operates Woodlands of Feilding.  The service is managed by a clinical facility manager who is supported by the company director and a clinical coordinator.  The clinical and facility manager is a registered nurse, who is experienced in elderly care.  She has been in the role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80 residents in two separate wings of 40 beds each.  All the beds are dual-service beds (hospital and rest home).  On the day of audit, there were 75 residents; 49 rest home and 26 hospital level including one younger person disabled. All other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and the inclusion of adding hospital services.  The service has quality goals, which have been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facility manager and director have not completed at least eight hours of professional development (link to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of Feilding has a documented quality system.  There are policies and procedures implemented to provide assurance that the service is meeting accepted good practice and adhering to relevant standards - including those standards relating to the Health and Disability Services (Safety) Act 2001.  Staff; three caregivers, two registered nurses, the cook and an activities person, confirmed they are made aware of any new/reviewed policies.  There are sufficient clinical policies/procedures to support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however not all audits have been completed as per schedule.  Corrective actions are developed, implemented and signed off for completed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including health and safety are taken and discussed at the two monthly staff meetings and two monthly registered nurse meetings.  There are monthly resident meetings.  Meeting minutes demonstrated key components of the quality management system discussed including internal audit, infection control, incidents (and trends) and in-service education.  Monthly accident/incident reports, infections and results of internal audits (when completed) are tabled at meetings.  The service has linked the complaints/compliments process with its quality management system and communicates relevant information to staff.  Meeting minutes reviewed indicated issues raised are followed through and closed out. </w:t>
            </w:r>
          </w:p>
          <w:p w:rsidR="00EB7645" w:rsidRPr="00BE00C7" w:rsidP="00BE00C7">
            <w:pPr>
              <w:pStyle w:val="OutcomeDescription"/>
              <w:spacing w:before="120" w:after="120"/>
              <w:rPr>
                <w:rFonts w:cs="Arial"/>
                <w:b w:val="0"/>
                <w:lang w:eastAsia="en-NZ"/>
              </w:rPr>
            </w:pPr>
            <w:r w:rsidRPr="00BE00C7">
              <w:rPr>
                <w:rFonts w:cs="Arial"/>
                <w:b w:val="0"/>
                <w:lang w:eastAsia="en-NZ"/>
              </w:rPr>
              <w:t>An annual survey of residents and relatives is undertaken, the most recent was August 2018 with very good/excellent results reported, a food survey during July was completed and results communicated to the July residents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H&amp;S and risk management programme in place including policies to guide practice.  A hazard register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 register.  Monthly reports are discussed at the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are also posted up in the staff room for staff to read.  Twelve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interviewed could describe situations that would require reporting to relevant authorities.  There has been no reportable event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caregivers).  Performance appraisals were not up to date for all staff files reviewed.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all attendance at compulsory training is now paid.  Compulsory training has been provided and booked for upcoming months.  This is an improvement from the previous audit, however management access to training related to managing a rest home/hospital is a continued shortfall.  The planner and individual attendance records are updated after each session.  Six of the ten registered nurses have completed interRAI training.  Clinical staff complete competencies relevant to their role.  The RNs and clinical facility manager have completed syringe driver training and have access to external clinical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determines staffing levels and skill mixes for safe service delivery.  The service continues to review staffing and there is evidence of changes to staffing since the previous audit.  Residents and relatives reported that the staffing was satisfactory.  Staff stated they feel supported by the RNs and clinical facility manager who respond quickly to after-hour calls.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two wings; Totara and Karaka.  Both wings have a capacity of 40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 service had 36 residents in Karaka, 12 of which were hospital level, and 39 residents in Totara, 14 of which were hospital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includes the clinical facility manager working five mornings a week and the clinical coordinator four mornings a week.  The two managers are both on call.  There is at least one RN and one first aid qualified person on each shift.  </w:t>
            </w:r>
          </w:p>
          <w:p w:rsidR="00EB7645" w:rsidRPr="00BE00C7" w:rsidP="00BE00C7">
            <w:pPr>
              <w:pStyle w:val="OutcomeDescription"/>
              <w:spacing w:before="120" w:after="120"/>
              <w:rPr>
                <w:rFonts w:cs="Arial"/>
                <w:b w:val="0"/>
                <w:lang w:eastAsia="en-NZ"/>
              </w:rPr>
            </w:pPr>
            <w:r w:rsidRPr="00BE00C7">
              <w:rPr>
                <w:rFonts w:cs="Arial"/>
                <w:b w:val="0"/>
                <w:lang w:eastAsia="en-NZ"/>
              </w:rPr>
              <w:t>Each wing has the same staffing including;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each shift for each wing. </w:t>
            </w:r>
          </w:p>
          <w:p w:rsidR="00EB7645" w:rsidRPr="00BE00C7" w:rsidP="00BE00C7">
            <w:pPr>
              <w:pStyle w:val="OutcomeDescription"/>
              <w:spacing w:before="120" w:after="120"/>
              <w:rPr>
                <w:rFonts w:cs="Arial"/>
                <w:b w:val="0"/>
                <w:lang w:eastAsia="en-NZ"/>
              </w:rPr>
            </w:pPr>
            <w:r w:rsidRPr="00BE00C7">
              <w:rPr>
                <w:rFonts w:cs="Arial"/>
                <w:b w:val="0"/>
                <w:lang w:eastAsia="en-NZ"/>
              </w:rPr>
              <w:t>For each shift there are the following caregivers in each wing; AM) two long shift and two short, PM) two long shift and two short and one caregiver at night.</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that process had improved, and they were able to safely care for residents.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medication policy and procedures that follows recognised standards and guidelines for safe medicine management.  The service uses an electronic medication system.  All residents have individual medication orders with photo identification and allergy status documented.  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senior caregivers with medication administration responsibilities.  Administration sheets sampled were appropriately signed.  Ten medication charts reviewed identified that the GP had seen the resident three-monthly and the medication chart was signed each time a medicine was administered by staff.  A registered nurse was observed administering medications and followed correct procedures.  No residents self-administer medications, procedures are in place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equipped commercial kitchen, which is located centrally in the facility.  The majority of food is prepared and cooked on site.  The service employs two cooks who are supported by kitchen staff.  All kitchen staff have completed food safety training.  There is a five-weekly rotating menu in operation.  The menu has been approved by a dietitian.  A food services manual is available to ensure that all stages of food delivery to residents comply with standards, legislation and guidelines and a food control plan approved.  Stock rotation of food was evidenced, and the kitchen was clean.  This is an improvement from the previous audit.  The service maintains two bulk food stores, one frozen and one dry goods.  Kitchen staff advised that they were able to access the stored food as needed.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Fridges and freezer temperatures are recorded daily on the recording sheet sighted.  Food temperatures are recorded daily.  A tray service is available if required by residents.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Alternative meals can be accommodated if needed.  Residents’ weights are recorded routinely each month or more frequently if required.  Residents and relatives interviewed reported satisfaction with food choices and meals, which were well presented.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were reviewed for this audit; two rest home level and three hospital, including one younger person’s file and care plan.  Care plans sampled were goal orientated using a care plan template developed by the management team.  The care plan template is designed to reflect interRAI assessments.  Care plans reviewed referred to all assessed needs from the interRAI.  However, the interventions to support the assessed needs were not always addressed in the care plan and monitoring was not always documented in the care plan or consistently documented as implemented.  This is a continued shortfall from the previous audit.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ten wounds logged at the time of the audit.  This included three, stage two pressure injuries (two are facility acquired).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needed by referral.  Two GPs visit the service, they provide two visits a week between them and on call, and more visits as needed.</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diversional therapists employed who are responsible for the planning and delivery of the individual and group activities programme with assistance from staff.  The team implements an activity programme for the rest home/hospital Monday-Friday.  The programme has set activities with the flexibility to add activities that are meaningful and relevant for all cognitive and physical abilities of the resident group and are gender appropriate.  The programme is also displayed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delivered along with input from volunteers.  There is a van to facilitate outings to events for residents (as appropriate).  Visits from entertainers occur monthly and there are a wide range of visiting speakers.  On site church services are held in the facility chapel room.  The programme also includes exercise sessions and a range of intellectual, craft and fun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resident/family/whānau as appropriate, are involved in the development of the activity plan and a number of relatives actively participate.  All care plans reviewed included an activity plan; this is an improvement from the previous audit.  The younger person disabled at the service was over 65 and happily joined in activities.  Resident/relative meetings were held monthly.</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expressed satisfaction with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The interRAI assessments and documented evaluations of care were up to date in files reviewed.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warrant of fitness expiring 9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Karaka Court Trust members provides maintenance services to Karaka Court Ltd.  There is a proactive maintenance schedule for 2018– 2019.  Daily maintenance requests are addressed, and electrical testing, calibration and functional checks of medical equipment has been completed by an external contractor.  Hot water temperatures in resident areas are monitored.  Contractors are available 24 hours for essential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wide corridors with sufficient space for residents to safely mobilise using mobility aids.  There is a range of seating and activity areas (including a chapel, a library and a dedicated room for family functions) for residents and families to use.  Fixtures, fittings and furnishing are all new and along with the level of lighting is suitable for residents.  Residents were observed to access the outdoor gardens safely.  Seating and shade are provided.  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  The policy includes comprehensive restraint procedures and identifies that restraint be used as a last resort.  The service is currently restraint free.  There were 12 residents with enablers (all bedrails).  Not all monitoring forms had been consistently completed (link 1.3.6.1).  Restraint use is included in orientation for clinical staff.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13"/>
        <w:gridCol w:w="1280"/>
        <w:gridCol w:w="4350"/>
        <w:gridCol w:w="4602"/>
        <w:gridCol w:w="1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documented, however this has not been fully implemented since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for May, June and July have not been documented as undertaken.  The clinical coordinator reported that the responsibility for the audits was unclear.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responsibility for internal audits is clear and that internal audits are documented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two-yearly education programme.  Since the previous audit the service has commenced paying for staff attendance at training and this has improved attendance.  Access to management training for the clinical facility manager is a continued shortfall.  There is a process for annual appraisals for staff, but this was not up to date at the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clinical facility manager has not attended at least eight hours training related to managing a rest home/hospital. (ii). Two of five staff files reviewed did not have an up to date annual appraisal.  Since the draft report the owner has advised that the Clinical Manager is attending the ARC meeting on the 6th Nov and will continue these next year and all appraisals are now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manager attends training related to managing a rest home/hospital.</w:t>
            </w:r>
          </w:p>
          <w:p w:rsidR="00EB7645" w:rsidRPr="00BE00C7" w:rsidP="00BE00C7">
            <w:pPr>
              <w:pStyle w:val="OutcomeDescription"/>
              <w:spacing w:before="120" w:after="120"/>
              <w:rPr>
                <w:rFonts w:cs="Arial"/>
                <w:b w:val="0"/>
                <w:lang w:eastAsia="en-NZ"/>
              </w:rPr>
            </w:pPr>
            <w:r w:rsidRPr="00BE00C7">
              <w:rPr>
                <w:rFonts w:cs="Arial"/>
                <w:b w:val="0"/>
                <w:lang w:eastAsia="en-NZ"/>
              </w:rPr>
              <w:t>(ii). Ensure staff have a documented annual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included a care plan.  Discussion with care staff and family evidenced that care is delivered according to need.  Caregivers confirmed that handovers provided them with information to effectively care for residents.  Care needs were not always fully documented in care plans and monitoring/ongoing care was not always documented as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level resident did not have the care plan updated to reflect the fluid diet.  This resident also did not have repositioning implemented as directed on the monitoring chart and the fluid chart completed as directed by the speech language therapist. </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level resident did not have interventions to safely manage behaviours that challenge.</w:t>
            </w:r>
          </w:p>
          <w:p w:rsidR="00EB7645" w:rsidRPr="00BE00C7" w:rsidP="00BE00C7">
            <w:pPr>
              <w:pStyle w:val="OutcomeDescription"/>
              <w:spacing w:before="120" w:after="120"/>
              <w:rPr>
                <w:rFonts w:cs="Arial"/>
                <w:b w:val="0"/>
                <w:lang w:eastAsia="en-NZ"/>
              </w:rPr>
            </w:pPr>
            <w:r w:rsidRPr="00BE00C7">
              <w:rPr>
                <w:rFonts w:cs="Arial"/>
                <w:b w:val="0"/>
                <w:lang w:eastAsia="en-NZ"/>
              </w:rPr>
              <w:t>(iii) The monitoring needs around the use of enablers was not documented in the care plan for three hospital and one rest home resident.  Monitoring was not consistently documented for these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resident’s care plans reflect their current assessed needs.  Ensure that monitoring is documented according to instruction.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Feilding</w:t>
    </w:r>
    <w:bookmarkEnd w:id="58"/>
    <w:r>
      <w:rPr>
        <w:rFonts w:cs="Arial"/>
        <w:sz w:val="16"/>
        <w:szCs w:val="20"/>
      </w:rPr>
      <w:tab/>
      <w:t xml:space="preserve">Date of Audit: </w:t>
    </w:r>
    <w:bookmarkStart w:id="59" w:name="AuditStartDate1"/>
    <w:r>
      <w:rPr>
        <w:rFonts w:cs="Arial"/>
        <w:sz w:val="16"/>
        <w:szCs w:val="20"/>
      </w:rPr>
      <w:t>18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