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Coombrae Elderly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Coombrae Elderly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October 2019</w:t>
      </w:r>
      <w:bookmarkEnd w:id="7"/>
      <w:r w:rsidRPr="009418D4">
        <w:rPr>
          <w:rFonts w:cs="Arial"/>
        </w:rPr>
        <w:tab/>
        <w:t xml:space="preserve">End date: </w:t>
      </w:r>
      <w:bookmarkStart w:id="8" w:name="AuditEndDate"/>
      <w:r w:rsidR="00A4268A">
        <w:rPr>
          <w:rFonts w:cs="Arial"/>
        </w:rPr>
        <w:t>11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PSC Coombrae is owned by Presbyterian Support Central and provides rest home and dementia level care for up to 44 residents.  On the day of the audit there were 32 residents.  The service is overseen by a recently appointed facility manager, who is a registered nurse and well qualified and experienced for the role.  The facility manager who has the title ‘clinical manager’ is supported by staff and the business operations manager.  Residents and family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This audit has identified an improvement required around interRAI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complies with the Code of Health and Disability Consumers’ Rights.  Staff ensure that care is provided in a way that focuses on the individual, values residents' autonomy and maintains their privacy and choice.  Policies are implemented to support residents’ rights, communication and complaints management.  Care plans accommodate the choices of residents and/or their family/whānau.  Staff and residents interviewed were familiar with the complaints’ management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Presbyterian Support Central quality and risk management system is documented.  Meetings are held to discuss quality and risk management processes.  Residents and relative meetings have been held and residents and families are surveyed regularly.  Health and safety policies, systems and processes are implemented to manage risk.  Incidents and accidents are documented and benchmarked.  An education and training programme have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manager takes primary responsibility for managing entry to the service.  Comprehensive service information is available.  Initial assessments are completed by a registered nurse, including interRAI assessments.  The registered nurses complete care plans.  Residents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Meals are prepared on site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two have ensuites.  Those that do not have ensuites, share bathroom facilities.  There is enough space to allow the movement of residents around the facility using mobility aids.  There are several lounge and dining areas throughout the facility.  The internal areas are ventilated and heated.  The outdoor areas are safe and easily accessible.  Cleaning and maintenance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were no residents with restraint or enablers at PSC Coombrae Elderly Care.  There is a restraint coordinator for the service, who is the clinical manager.  Restraint minimisation education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0"/>
        <w:gridCol w:w="1280"/>
        <w:gridCol w:w="93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has been incorporated into care.  Discussions with staff (one clinical manager, one registered nurse, one recreational officer, and five healthcare assistants, one cleaner, one laundry person and a maintenance person) identified their familiarity with the Code of Rights.  Interviews with three rest home residents and five families (two dementia and three rest home) confirmed that the service functions in a way that complies with the Code of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Policies and procedures for informed consent and resuscitation are in place.  General consents and specific consents where applicable were obtained on admission and updated as required.  These were sighted in the six residents’ files reviewed (four rest home and two dementia level care resident files).  Resuscitation plans were appropriately signed.  Copies of enduring power of attorney (EPOA) for care and welfare were in resident files for residents deemed incompetent to make decisions.  The EPOA had been activated in the two dementia care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their family/whānau (where appropriate), are provided with appropriate information to make informed choices and decisions.  Discussions with staff confirmed consent is obtained when delivering care.  A signed admission agreement was in place for the files reviewed.  Discussions with family/whānau confirmed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Information about accessing advocacy services information is available in the entrance foyer.  The information pack provided to residents at the time of entry to the service also provides residents and family/whānau with advocacy information.  Interviews with healthcare assistants, residents and relatives informed they were aware of advocacy and how to access an advocate.  The bi-monthly resident meetings are chaired by an independent advocate who is also present on the site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relatives and friends can visit at any time and are encouraged to be involved with the service and care.  Maintaining links with the community is encouraged.  Activities programmes include opportunities to attend events outside of the facility.  Discussion with staff, family and residents confirmed residents are supported and encouraged to remain involved in the community and external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and this is communicated to residents and family members.  The clinical manager leads the investigation and management of complaints (verbal and written).  A complaints register records activity.  Complaint forms were visible around the facility.  There have been seven documented complaints made year to date.  Three of these complaints related to the family of one resident in relation to staff attitude/communication.  This now appears to have been resolved.  All complaints have been appropriately investigated and resolved to the satisfaction of the complainants.  One matter had been referred directly to the Health and Disability Commissioner who asked the manager to investigate and the commissioner’s office determined no follow-up was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could describe the complaints management process and the process to follow that aligned with the PSC complaints management policy.  Discussion with residents and relatives confirmed they were aware of how to make a complaint.  A copy of the complaint’s procedure is provided to residents within the information pack at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are available in the front entrance of the facility.  Code of Rights posters are on the walls in the hallways.  Client right to access advocacy services is identified for residents and advocacy service leaflets are available at the front entrance foyer.  A resident advocate is available on the site at least weekly.  Information is also given to next of kin or enduring power of attorney (EPOA) to read to and discuss with the resident in private.  Residents and families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A tour of the facility confirmed there is the ability to support personal privacy for residents.  Staff were observed to be respectful of residents’ personal privacy by knocking on doors prior to entering resident rooms during the audit.  Residents and family interviewed confirmed that staff are respectful, caring and maintain their dignity, independence and privacy at all times.  A review of documentation, interviews with residents, family and staff highlighted how they demonstrate their commitment to maximising resident independence and make service improvements that reflect the wishes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including a Māori health plan.  The service has access to a cultural advisor with links to local iwi.  Specialist advice is available and sought when necessary.  The service's philosophy results in each person's cultural needs being considered individually.  On the day of the audit, there were two residents who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clinical manager and registered nurse along with the resident and family/whānau complete the documentation.  Residents and family interviewed confirmed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Discrimination, coercion, exploitation and harassment policies and procedures are in place.  Code of conduct and position descriptions outline staff responsibilities in terms of providing a discrimination free environment.  The Code of Rights is included in orientation and in-service training.  Interviews with staff confirmed their understanding of discrimination and exploitation and could describe how professional boundaries are maintained.  Discussions with residents identified that privacy is ensured.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The resident satisfaction survey and the relative satisfaction survey reflects high levels of satisfaction with the services that are provided.  Residents and relatives interviewed spoke very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five family members stated they were given information about the service and procedures.  Residents interviewed stated they were welcomed on entry and were given time and explanation about the services and procedures.  Accident/incident forms have a section to indicate if family have been informed (or not) of an accident/incident.  Ten incident forms reviewed for August 2019 identified family were notified following a resident incident.  Interviews with healthcare assistants confirmed that family are kept informed.  The clinical manager has an open-door policy and residents and family interviewed reported that they find the clinical manager very approachable.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Coombrae is part of the Presbyterian Support Central organisation (PSC).  The service provides rest home and dementia level of care for up to 44 residents.  On the day of the audit there were 32 residents (23 rest home residents and 9 residents in the 16-bed secure dementia unit).  There were no residents on respite.  All residents are admitted under the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clinical and has been in the role for two months (he has some years of facility management experience and nursing experience with another aged care organisation).  The clinical manager is supported by two registered nurses and PSC clinical support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Coombrae has a documented mission statement, vision, values and goals included in the 2019-2020 business/quality plan.  The 2018-2019 business goals had been reviewed.  The philosophy of the service also includes providing safe and therapeutic care for residents with dementia that enhances their quality of life and minimises risks associated with their confused states.  The clinical manager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clinical manager, the PSC Business Operations Manager undertakes the role with the support of the RNs, care staff and the PSC Clinical Director.  There had been two relieving managers covering the site prior to the appointment of the current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quality and risk management system.  PSC has an overall Quality Monitoring Programme (QMP) that is part of the quality programme and includes internal benchmarking with the other PSC sites.  Annual resident and relative satisfaction surveys are completed, and results collated as per company schedule.  Regular meetings are held that involve all staff.  Meeting minutes reviewed evidenced discussion around the results of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accident/incident reports are completed by the clinical manager.  There is an online database for recording accidents and incidents with monthly reports to the PSC clinical director.  The 2019 meeting schedule includes senior leadership meetings (quality, accidents/incidents and infection control), clinical and staff meetings, resident meetings and relative meetings.  Accident/incident, infection control and quality data is collated monthly and reported to head office where the data is analysed, trended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which are developed and reviewed at head office.  Staff read and sign to declare awareness of new/reviewed policies and procedures.  There is an implemented risk management plan, and health and safety policies and procedures in place including accident and hazard management.  The service has a health and safety management system, and this includes three monthly health and safety meetings.  There is a current the health and safety officer.  Emergency plans ensure appropriate response in an emergency.  There was a current hazard register for the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The service collects data relating to adverse, unplanned and untoward events.  This includes the collection of incident and accident information.  The data is linked to the internal PSC benchmarking programme.  A monthly incident/accident report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clinical manager confirmed that there is an awareness of the requirement to notify relevant authorities in relation to essential notifications.  Two section 31 incident notification forms were completed (sighted) in 2019 (both related to the behaviour of one resident).  The appropriate action has been taken in relation to the matters outlined in the mandatory notifications that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A copy of qualifications and annual practising certificates including registered nurses and general practitioners, and other registered health professionals are kept.  Eight staff files were reviewed (one registered nurse, two healthcare assistants, one cook, one recreational officer, one cleaner, one laundry person and one kitchen hand).  All staff files reviewed included the appropriate employment and recruitment documents, including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Care staff stated that they believed new staff were adequately orientated to the service.  A training programme is implemented that includes eight hours of annual education.  The registered nurses attend PSC professional study days, which cover the mandatory education requirements and other clinical requirements.  Attendance is monitored.  The staff training plan includes regular sessions occurring as per facility calendar.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eleven healthcare assistants who work in the dementia unit.  Two have completed the required dementia standards and three are at completion stage, five recently appointed staff are registered to commence along with one staff member who has worked in the unit for over twelve months (in the interim, this staff member is always on duty with a staff member who has completed the required dementia papers).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in place that provides sufficient and appropriate coverage for the effective delivery of care and support.  The clinical manager works 40 hours per week and is on call 24/7 for facility issues.  Two RNs are employed to cover the morning shifts seven days per week, with two being on duty one day a week.  Between them they cover clinical calls.  Care staff interviewed reported adequate staff cover.  Residents interviewed advised that there are sufficient staff on duty at any one time and that staff are prompt to answer call bells and attend to resident’s needs.  There are dedicated cleaning, laundry staff and food services staff.</w:t>
            </w:r>
          </w:p>
          <w:p w:rsidR="00EB7645" w:rsidRPr="00BE00C7" w:rsidP="00BE00C7">
            <w:pPr>
              <w:pStyle w:val="OutcomeDescription"/>
              <w:spacing w:before="120" w:after="120"/>
              <w:rPr>
                <w:rFonts w:cs="Arial"/>
                <w:b w:val="0"/>
                <w:lang w:eastAsia="en-NZ"/>
              </w:rPr>
            </w:pPr>
            <w:r w:rsidRPr="00BE00C7">
              <w:rPr>
                <w:rFonts w:cs="Arial"/>
                <w:b w:val="0"/>
                <w:lang w:eastAsia="en-NZ"/>
              </w:rPr>
              <w:t>Staffing in the dementia unit includes; two in the morning, two in the afternoon and one at night with a second night person shared between dementia and rest home (so three staff in facility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in the rest home includes; A shift coordinator daily and three carers in the morning, two on afternoon and two on night with the second being available to assist in dementia unit as referred to above.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and passwords and logins are required to access resident files which are electronic.  Informed consent to display photographs is obtained from residents/family/whānau on admission.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Written information on the service philosophy and practices particular to dementia care, are included in the information pack.  The admission agreement form in use aligns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In the event of transfer to hospital, information is transferred in a pink envelope, this contains all relevant documentation.  This was sighted in client files.  Relatives are notified if transfers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files were sampled from dementia and rest home residents.  The service has implemented an electronic medication system.  The medication management policies comply with medication legislation and guidelines.  Medicines are appropriately stored in accordance with relevant guidelines and legislation.  Resident’s medicines are stored securely in the medication room/cupboards in each of the two areas (rest home and dementia).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practice complies with the medication management policy for a medication round in each of the areas observed.  Registered nurses and medication competent healthcare assistants administer medicines.  All staff that administer medicines are competent and have received medication management training.  The facility uses a blister pack medication management system for the packaging of all tablets.  The RN on duty or senior medication competent healthcare assistant reconcile the medication delivery with the pharmacist on receipt and documents this.  Medical practitioners write medication charts correctly and there was evidence of three-monthly reviews by the GP.  There were no residents self-administering medicines at the time of audit; processes are in place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There is a food services manual in place to guide staff.  The food control plan expires 23 January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nutritional profile is developed for each resident on admission and provided to the kitchen staff.  This document is reviewed at least six monthly as part of the care plan review.  The kitchen meets the needs of residents who require special diets and the cook works closely with the RNs on duty.  Nutritious snacks are available over the 24-hour period in the secure dementia unit.  The meals are served from a bain marie.  Mealtimes observed evidenced that staff were available to assist and support residents.  All kitchen staff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follows a rotating seasonal menu, which has been reviewed by an external dietitian.  There is special equipment available for residents if required.  All food is stored appropriately.  Residents and family members interviewed noted recent improvements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an individual is declined entry to the facility, management communicates this decision to potential resident/family/whānau and the referring agency.  Anyone declined entry is referred to the referring agency for appropriate placement and advice.  Information on alternate placement options is given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 the sampled files reviewed, appropriate assessment tools were evidenced.  The interRAI assessment tool is implemented.  The service has recently implemented the Leecare system, all resident files reviewed included a wide range of assessments including pain, falls, nutrition and continence assessments that, in association with interRAI, form the basis for development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had been transferred onto the Leecare system with some paper-based information.  Care plans on the Leecare system in association with paper-based information described the support required to meet the resident’s goals and needs.  There was evidence of allied health care involvement in the resident files reviewed including a podiatrist and wound care specialists.  Residents and their family/whānau interviewed reported that they are involved in the care planning and review process.  Short-term care plans were in use for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care plan and report progress against the care plan each shift at handover.  If external nursing or allied health advice is required, the RNs will initiate a referral (eg, to the district nurse, hospice nurse and wound care specialist nurse).  If external medical advice is required, this will be actioned by the GP.  Staff have access to enough medical supplies and continence products to meet resident requirements.  Resident files included a continence assessment and plan as part of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were in place for all identified wounds.  There were 14 wounds on the day of audit.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an understanding of the individualised needs of residents.  There was evidence of pressure injury prevention interventions such as monitoring of skin integrity and regular (monthly or more frequently if required) weighs.  Monitoring charts had been consistently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programme meets the recreational needs of rest home and dementia care residents.  The service employs a diversional therapist (DT) and recreation officer and they provide activities in the rest home and dementia area seven days a week with assistance from volunteers.  The activity team is supported by a team of 26 volunteers and two canine friends.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set activity programmes for the facility with specific dementia activities being undertaken.  Dementia residents regularly join the rest home residents for activities and there are activities held in the dementia area as well.  Activities available for dementia residents include memory baskets, paint books, music, DVDs and story books.  The activity plan is resident-focused and is planned around meaningful everyday activities and includes singing, baking, bowls, sewing, housie and church services.  Once a month there is a music appreciation session, with the residents choosing which musician’s music is to be played.  Community visits include weekly visits from a Feilding High School, monthly visits from a kindergarten and six weekly visits from St Joseph School.  Residents visit the countryside, Palmerston North and the local area in the facility van.  The residents have regular one-to-one and group input into feedback regarding the resident’s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resident/family (as appropriate).  Relatives interviewed advised that the activity programme was interesting with lots of choice and the residents were encouraged to participate.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recreational plans had been reviewed six monthly, at the same time as the care plans were reviewed.  Activity participation was noted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All care plans have recently been transferred onto the Leecare system.  There was at least a three-monthly review by the GP.  Reassessments have been completed using interRAI for all residents who have had a significant change in health status.  The RN completing the plan signs care plan reviews.  Short-term care plans sighted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all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in 8 July 2020.  PSC have undertaken ongoing environmental improvements such as room upgrades throughout the facility.  A maintenance person undertakes the preventative and reactive maintenance and works 25 hours or more per week.  All medical and electrical equipment had been serviced and/or calibrated.  Hot water temperatures are monitored and managed.  The facility has enough space for residents to mobilise using mobility aids.  External areas are maintained with garden areas and flowers, shrubs and trees.  Residents have access to safely designed external areas that have shade.  There is enough space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area has raised bed gardens and an aviary in the outdoor area, and the garden is easy to access and well maintained.  There are also quiet low stimulus areas that provide privacy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Two bedrooms have ensuites and other residents share communal toilets and showers.  Residents interviewed noted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central dining room for the rest home residents.  There are several lounge areas and sitting rooms in the rest home and dementia area.  The dementia unit has one large lounge and a smaller sunny lounge area that looks over the internal courtyard.  There is a separate dining and activity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throughout the facility to allow maximum freedom of movement while promoting safety for those that wander.  There is adequate space to allow for group and individual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staff clean the facility and have completed chemical safety training.  They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Dedicated laundry staff complete all laundry on site in an appropriately appointed laundry.  The laundry operates daily from 9 am to 2.30 pm.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The facility is well prepared for civil emergencies and has civil defence kits (readily accessible) that are checked monthly.  There are adequate supplies in the event of a civil defence emergency including food, water (in containers changed six monthly along with two large tanks adjacent to the building), blankets, torches, batteries and radio.</w:t>
            </w:r>
          </w:p>
          <w:p w:rsidR="00EB7645" w:rsidRPr="00BE00C7" w:rsidP="00BE00C7">
            <w:pPr>
              <w:pStyle w:val="OutcomeDescription"/>
              <w:spacing w:before="120" w:after="120"/>
              <w:rPr>
                <w:rFonts w:cs="Arial"/>
                <w:b w:val="0"/>
                <w:lang w:eastAsia="en-NZ"/>
              </w:rPr>
            </w:pPr>
            <w:r w:rsidRPr="00BE00C7">
              <w:rPr>
                <w:rFonts w:cs="Arial"/>
                <w:b w:val="0"/>
                <w:lang w:eastAsia="en-NZ"/>
              </w:rPr>
              <w:t>There are two backup generators on site and a barbeque and gas bottles for alternative cooking source.  Emergency lighting is checked.  The staff interviewed were able to describe the emergency plan and how to implement this.  Fire training and security situations are part of orientation of new staff.  A minimum of one person trained in first aid is on site at all times.  There are call bells in the residents’ rooms and lounge/dining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all resident rooms are appropriately heated and ventilated.  All rooms have external windows that open, allowing plenty of natural sunlight.  The environment was noted to be at a safe and comfortable temperature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The PSC software programme, GOSH, is used to assist with benchmarking of data.  Summaries of these results are fed back through the senior team, clinical and staff meetings.  The scope of the infection control programme policy and infection control programme description is available.  There is an implemented infection control programme that is linked into the risk management system.  The infection control coordinator (registered nurse) provides feedback at staff meetings.  Spot audits have been conducted and included hand hygiene and infection control practices.  Education is provided for all new staff on orientation.</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organisational policy review group are responsible for the development of the infection control programme and its review (with specialist input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the small size of the facility, infection control is discussed at staff meetings.  The staff meetings are attended by a cross-section of staff from all areas of the service including; management, clinical, kitchen, cleaning, and laundry.  The service also has access to the PSC clinical director and nurse consultant, the DHB infection control nurse specialist, public health, and the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PSC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infection control policies and procedures are developed and reviewed by the organisational policy review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(registered nurse) commenced in the role three months prior to audit.  She has completed Nursing Professional Development – The Basics of Infection Control, has undertaken the MOH online IC Coordinator training and attended the PSC infection control nurse peer support day covering the role of the IC coordinator and outbreak management.  The infection control coordinator also has access to the clinical IC support person within the organisation, DHB infection control nurse specialist, Public Health, Med Lab and GPs.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provides infection control orientation to all new staff.  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at PSC Coombrae.  Internal infection control audits also assist the service in evaluating infection control needs.  There is liaison with the GP and laboratory staff that advise and provide feedback/information to the service.  The GP and the service monitor the use of antibiotics.  Infection control data is collated monthly and reported to the senior management and staff meetings.  The meetings include the monthly infection control report.  Individual resident infection control summaries are maintained.  All infections are documented on the infection monthly on-line register.  The surveillance of infection data assists in evaluating compliance with infection control practices.  Short-term care plans are completed for infections.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should restraints or enablers be required.  On the day of audit there were no restraints or enablers in use.  The clinical manager is the restraint coordinator.  Restraint minimisation education is included in the training programme (last in-service September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71"/>
        <w:gridCol w:w="1280"/>
        <w:gridCol w:w="3922"/>
        <w:gridCol w:w="4224"/>
        <w:gridCol w:w="14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initial interRAI assessments had been completed within the required timeframes.  The sample size was increased.  Three of nine files sampled did not have the initial interRAI assessments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showed that initial interRAI assessments were not completed within the required timeframe.  The sample size was increased.  Three of nine files sampled did not have the initial interRAI assessments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initial interRAI assessments are completed within the required timeframe.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Coombrae Elderly Care</w:t>
    </w:r>
    <w:bookmarkEnd w:id="58"/>
    <w:r>
      <w:rPr>
        <w:rFonts w:cs="Arial"/>
        <w:sz w:val="16"/>
        <w:szCs w:val="20"/>
      </w:rPr>
      <w:tab/>
      <w:t xml:space="preserve">Date of Audit: </w:t>
    </w:r>
    <w:bookmarkStart w:id="59" w:name="AuditStartDate1"/>
    <w:r>
      <w:rPr>
        <w:rFonts w:cs="Arial"/>
        <w:sz w:val="16"/>
        <w:szCs w:val="20"/>
      </w:rPr>
      <w:t>10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